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4D2" w14:textId="0C93506A"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sidR="00F8223C">
        <w:rPr>
          <w:rFonts w:ascii="바탕체" w:eastAsia="바탕체" w:hAnsi="바탕체" w:cs="바탕체" w:hint="eastAsia"/>
          <w:b/>
          <w:noProof/>
          <w:sz w:val="24"/>
          <w:lang w:eastAsia="ko-KR"/>
        </w:rPr>
        <w:t>b</w:t>
      </w:r>
      <w:r>
        <w:rPr>
          <w:b/>
          <w:noProof/>
          <w:sz w:val="24"/>
        </w:rPr>
        <w:t>-e</w:t>
      </w:r>
      <w:r>
        <w:rPr>
          <w:rFonts w:cs="Arial"/>
          <w:b/>
          <w:i/>
          <w:noProof/>
          <w:sz w:val="22"/>
          <w:szCs w:val="22"/>
          <w:lang w:val="en-GB"/>
        </w:rPr>
        <w:tab/>
      </w:r>
      <w:r w:rsidR="007B014B" w:rsidRPr="007B014B">
        <w:rPr>
          <w:rFonts w:cs="Arial"/>
          <w:b/>
          <w:i/>
          <w:noProof/>
          <w:sz w:val="22"/>
          <w:szCs w:val="22"/>
          <w:lang w:val="en-GB" w:eastAsia="zh-CN"/>
        </w:rPr>
        <w:t>R2-2210522</w:t>
      </w:r>
    </w:p>
    <w:p w14:paraId="092D7AC8" w14:textId="37AB684B"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 xml:space="preserve">Electronic, </w:t>
      </w:r>
      <w:r w:rsidR="00F8223C">
        <w:rPr>
          <w:rFonts w:ascii="Arial" w:eastAsia="SimSun" w:hAnsi="Arial" w:cs="Arial"/>
          <w:b/>
          <w:noProof/>
          <w:sz w:val="22"/>
          <w:szCs w:val="22"/>
          <w:lang w:eastAsia="zh-CN"/>
        </w:rPr>
        <w:t>10</w:t>
      </w:r>
      <w:r w:rsidR="00385ECA" w:rsidRPr="003C7701">
        <w:rPr>
          <w:rFonts w:ascii="Arial" w:eastAsia="SimSun" w:hAnsi="Arial" w:cs="Arial"/>
          <w:b/>
          <w:noProof/>
          <w:sz w:val="22"/>
          <w:szCs w:val="22"/>
          <w:vertAlign w:val="superscript"/>
          <w:lang w:eastAsia="zh-CN"/>
        </w:rPr>
        <w:t>th</w:t>
      </w:r>
      <w:r w:rsidR="004B6BBE">
        <w:rPr>
          <w:rFonts w:ascii="Arial" w:eastAsia="SimSun" w:hAnsi="Arial" w:cs="Arial"/>
          <w:b/>
          <w:noProof/>
          <w:sz w:val="22"/>
          <w:szCs w:val="22"/>
          <w:lang w:eastAsia="zh-CN"/>
        </w:rPr>
        <w:t xml:space="preserve"> </w:t>
      </w:r>
      <w:r w:rsidR="00F8223C">
        <w:rPr>
          <w:rFonts w:ascii="Arial" w:eastAsia="SimSun" w:hAnsi="Arial" w:cs="Arial"/>
          <w:b/>
          <w:noProof/>
          <w:sz w:val="22"/>
          <w:szCs w:val="22"/>
          <w:lang w:eastAsia="zh-CN"/>
        </w:rPr>
        <w:t>Oct.</w:t>
      </w:r>
      <w:r>
        <w:rPr>
          <w:rFonts w:ascii="Arial" w:eastAsia="SimSun" w:hAnsi="Arial" w:cs="Arial"/>
          <w:b/>
          <w:noProof/>
          <w:sz w:val="22"/>
          <w:szCs w:val="22"/>
          <w:lang w:eastAsia="zh-CN"/>
        </w:rPr>
        <w:t xml:space="preserve"> – </w:t>
      </w:r>
      <w:r w:rsidR="00F8223C">
        <w:rPr>
          <w:rFonts w:ascii="Arial" w:eastAsia="SimSun" w:hAnsi="Arial" w:cs="Arial"/>
          <w:b/>
          <w:noProof/>
          <w:sz w:val="22"/>
          <w:szCs w:val="22"/>
          <w:lang w:eastAsia="zh-CN"/>
        </w:rPr>
        <w:t>19</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F8223C">
        <w:rPr>
          <w:rFonts w:ascii="Arial" w:eastAsia="SimSun" w:hAnsi="Arial" w:cs="Arial"/>
          <w:b/>
          <w:noProof/>
          <w:sz w:val="22"/>
          <w:szCs w:val="22"/>
          <w:lang w:eastAsia="zh-CN"/>
        </w:rPr>
        <w:t>Oct.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30CC10DE" w14:textId="157BDDBE"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75AA3">
        <w:rPr>
          <w:rFonts w:ascii="Arial" w:eastAsia="SimSun" w:hAnsi="Arial" w:cs="Arial"/>
          <w:sz w:val="22"/>
          <w:lang w:eastAsia="zh-CN"/>
        </w:rPr>
        <w:t>8.</w:t>
      </w:r>
      <w:r w:rsidR="007A3F0C">
        <w:rPr>
          <w:rFonts w:ascii="Arial" w:eastAsia="SimSun" w:hAnsi="Arial" w:cs="Arial"/>
          <w:sz w:val="22"/>
          <w:lang w:eastAsia="zh-CN"/>
        </w:rPr>
        <w:t>1</w:t>
      </w:r>
      <w:r w:rsidR="00A75AA3">
        <w:rPr>
          <w:rFonts w:ascii="Arial" w:eastAsia="SimSun" w:hAnsi="Arial" w:cs="Arial"/>
          <w:sz w:val="22"/>
          <w:lang w:eastAsia="zh-CN"/>
        </w:rPr>
        <w:t>2.2</w:t>
      </w:r>
      <w:r>
        <w:rPr>
          <w:rFonts w:ascii="Arial" w:eastAsia="SimSun" w:hAnsi="Arial" w:cs="Arial"/>
          <w:sz w:val="22"/>
          <w:lang w:eastAsia="zh-CN"/>
        </w:rPr>
        <w:t xml:space="preserve"> (</w:t>
      </w:r>
      <w:r w:rsidR="002875E4" w:rsidRPr="002875E4">
        <w:rPr>
          <w:rFonts w:ascii="Arial" w:eastAsia="SimSun" w:hAnsi="Arial" w:cs="Arial" w:hint="eastAsia"/>
          <w:sz w:val="22"/>
          <w:lang w:eastAsia="zh-CN"/>
        </w:rPr>
        <w:t>IAB</w:t>
      </w:r>
      <w:r w:rsidR="002875E4">
        <w:rPr>
          <w:rFonts w:ascii="바탕체" w:eastAsia="바탕체" w:hAnsi="바탕체" w:cs="바탕체" w:hint="eastAsia"/>
          <w:sz w:val="22"/>
          <w:lang w:eastAsia="ko-KR"/>
        </w:rPr>
        <w:t xml:space="preserve"> </w:t>
      </w:r>
      <w:r w:rsidR="007A3F0C" w:rsidRPr="00CC610F">
        <w:rPr>
          <w:rFonts w:ascii="Arial" w:eastAsia="SimSun" w:hAnsi="Arial" w:cs="Arial"/>
          <w:sz w:val="22"/>
          <w:lang w:eastAsia="zh-CN"/>
        </w:rPr>
        <w:t>Mobility Enhancements</w:t>
      </w:r>
      <w:r>
        <w:rPr>
          <w:rFonts w:ascii="Arial" w:eastAsia="SimSun" w:hAnsi="Arial" w:cs="Arial"/>
          <w:sz w:val="22"/>
          <w:lang w:eastAsia="zh-CN"/>
        </w:rPr>
        <w:t>)</w:t>
      </w:r>
    </w:p>
    <w:p w14:paraId="1FAFCFB2"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6BF983C" w14:textId="1A26C7F5"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7A3F0C">
        <w:rPr>
          <w:rFonts w:ascii="Arial" w:hAnsi="Arial" w:cs="Arial"/>
          <w:sz w:val="22"/>
        </w:rPr>
        <w:t>the enhancement of IAB node mobility</w:t>
      </w:r>
    </w:p>
    <w:p w14:paraId="6F4014F4"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0870C8B5" w14:textId="77777777" w:rsidR="00463669" w:rsidRDefault="00463669" w:rsidP="00463669">
      <w:pPr>
        <w:pStyle w:val="1"/>
        <w:rPr>
          <w:rFonts w:eastAsia="SimSun"/>
          <w:lang w:eastAsia="zh-CN"/>
        </w:rPr>
      </w:pPr>
      <w:r>
        <w:t>Introduction</w:t>
      </w:r>
    </w:p>
    <w:p w14:paraId="73C3F4A7" w14:textId="05EDF460" w:rsidR="007A3F0C" w:rsidRDefault="007A3F0C" w:rsidP="007A3F0C">
      <w:r>
        <w:t xml:space="preserve">Rel-18 mobile IAB has the </w:t>
      </w:r>
      <w:r w:rsidR="00D20CFB">
        <w:t xml:space="preserve">main objectives related to the mobility of the mobile IAB node. In the last R2#119meeting, the below agreements were made regarding this aspects: </w:t>
      </w:r>
    </w:p>
    <w:tbl>
      <w:tblPr>
        <w:tblStyle w:val="a5"/>
        <w:tblW w:w="0" w:type="auto"/>
        <w:tblLook w:val="04A0" w:firstRow="1" w:lastRow="0" w:firstColumn="1" w:lastColumn="0" w:noHBand="0" w:noVBand="1"/>
      </w:tblPr>
      <w:tblGrid>
        <w:gridCol w:w="9350"/>
      </w:tblGrid>
      <w:tr w:rsidR="007A3F0C" w14:paraId="78131415" w14:textId="77777777" w:rsidTr="00437702">
        <w:tc>
          <w:tcPr>
            <w:tcW w:w="9350" w:type="dxa"/>
          </w:tcPr>
          <w:p w14:paraId="3F8DAD91" w14:textId="77777777" w:rsidR="007A3F0C" w:rsidRDefault="007A3F0C" w:rsidP="00437702"/>
          <w:p w14:paraId="21B6C1B0" w14:textId="77777777" w:rsidR="00F8223C" w:rsidRPr="00347BC6" w:rsidRDefault="00F8223C" w:rsidP="00F8223C">
            <w:pPr>
              <w:pStyle w:val="Agreement"/>
            </w:pPr>
            <w:r w:rsidRPr="00347BC6">
              <w:t xml:space="preserve">The following Points are Endorsed, i.e. for the plan for next meeting (after one round of discussion at R2 119-e): </w:t>
            </w:r>
          </w:p>
          <w:p w14:paraId="7B3142EB" w14:textId="77777777" w:rsidR="00F8223C" w:rsidRPr="00A81E2F" w:rsidRDefault="00F8223C" w:rsidP="00F8223C">
            <w:pPr>
              <w:pStyle w:val="Agreement"/>
              <w:numPr>
                <w:ilvl w:val="0"/>
                <w:numId w:val="0"/>
              </w:numPr>
              <w:ind w:left="1619"/>
              <w:rPr>
                <w:highlight w:val="yellow"/>
              </w:rPr>
            </w:pPr>
            <w:r w:rsidRPr="00A81E2F">
              <w:rPr>
                <w:highlight w:val="yellow"/>
              </w:rPr>
              <w:t xml:space="preserve">P1: RAN2 to discuss scenarios, if and where enhancements to cell (re-)selection to/from the mobile IAB-node apply, e.g. based on mobile IAB-node broadcast parameter (this point doesn’t preclude other potential usage of </w:t>
            </w:r>
            <w:proofErr w:type="spellStart"/>
            <w:r w:rsidRPr="00A81E2F">
              <w:rPr>
                <w:highlight w:val="yellow"/>
              </w:rPr>
              <w:t>Bcast</w:t>
            </w:r>
            <w:proofErr w:type="spellEnd"/>
            <w:r w:rsidRPr="00A81E2F">
              <w:rPr>
                <w:highlight w:val="yellow"/>
              </w:rPr>
              <w:t xml:space="preserve"> info).</w:t>
            </w:r>
          </w:p>
          <w:p w14:paraId="2BE1243D" w14:textId="77777777" w:rsidR="00F8223C" w:rsidRPr="00347BC6" w:rsidRDefault="00F8223C" w:rsidP="00F8223C">
            <w:pPr>
              <w:pStyle w:val="Agreement"/>
              <w:numPr>
                <w:ilvl w:val="0"/>
                <w:numId w:val="0"/>
              </w:numPr>
              <w:ind w:left="1619"/>
            </w:pPr>
            <w:r w:rsidRPr="00A81E2F">
              <w:rPr>
                <w:highlight w:val="yellow"/>
              </w:rPr>
              <w:t>P2: Can discuss whether The mobile IAB-MT need to send a mobile-IAB indication (capability or mobility) to the IAB-donor-CU,</w:t>
            </w:r>
          </w:p>
          <w:p w14:paraId="7737FD2B" w14:textId="77777777" w:rsidR="00F8223C" w:rsidRPr="00347BC6" w:rsidRDefault="00F8223C" w:rsidP="00F8223C">
            <w:pPr>
              <w:pStyle w:val="Agreement"/>
              <w:numPr>
                <w:ilvl w:val="0"/>
                <w:numId w:val="0"/>
              </w:numPr>
              <w:ind w:left="1619"/>
            </w:pPr>
            <w:r w:rsidRPr="00347BC6">
              <w:t xml:space="preserve">P3: For “dual-DU-way” of doing full migration, RAN2 may discuss whether the legacy UE should see the two logical cells/DUs as separate or same physical cell(s), and what procedure(s) the legacy UE needs to perform in either case. </w:t>
            </w:r>
          </w:p>
          <w:p w14:paraId="39F83FA0" w14:textId="77777777" w:rsidR="00F8223C" w:rsidRPr="00347BC6" w:rsidRDefault="00F8223C" w:rsidP="00F8223C">
            <w:pPr>
              <w:pStyle w:val="Agreement"/>
              <w:numPr>
                <w:ilvl w:val="0"/>
                <w:numId w:val="0"/>
              </w:numPr>
              <w:ind w:left="1619"/>
            </w:pPr>
            <w:r w:rsidRPr="00347BC6">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3ADB146" w14:textId="77777777" w:rsidR="00F8223C" w:rsidRPr="00347BC6" w:rsidRDefault="00F8223C" w:rsidP="00F8223C">
            <w:pPr>
              <w:pStyle w:val="Agreement"/>
              <w:numPr>
                <w:ilvl w:val="0"/>
                <w:numId w:val="0"/>
              </w:numPr>
              <w:ind w:left="1619"/>
            </w:pPr>
            <w:r w:rsidRPr="00347BC6">
              <w:t xml:space="preserve">P5: RAN2 may discuss whether there is a problem of RACH configuration collision between mobile IAB and stationary network from RAN2 perspective and/or whether RAN2 should ask RAN1 to consider RAN1-related aspects. </w:t>
            </w:r>
          </w:p>
          <w:p w14:paraId="08E4CDBF" w14:textId="77777777" w:rsidR="007A3F0C" w:rsidRDefault="007A3F0C" w:rsidP="00437702"/>
          <w:p w14:paraId="4CB5C172" w14:textId="77777777" w:rsidR="00D20CFB" w:rsidRPr="00347BC6" w:rsidRDefault="00D20CFB" w:rsidP="00D20CFB">
            <w:pPr>
              <w:pStyle w:val="Agreement"/>
            </w:pPr>
            <w:r w:rsidRPr="00347BC6">
              <w:t>The method of not broadcasting “</w:t>
            </w:r>
            <w:proofErr w:type="spellStart"/>
            <w:r w:rsidRPr="00347BC6">
              <w:t>iab</w:t>
            </w:r>
            <w:proofErr w:type="spellEnd"/>
            <w:r w:rsidRPr="00347BC6">
              <w:t>-Support” indication, is sufficient to prevent other IAB-node from accessing mobile IAB (without further spec impact).</w:t>
            </w:r>
          </w:p>
          <w:p w14:paraId="73CB20EE" w14:textId="77777777" w:rsidR="00D20CFB" w:rsidRPr="00D20CFB" w:rsidRDefault="00D20CFB" w:rsidP="00D20CFB">
            <w:pPr>
              <w:pStyle w:val="Agreement"/>
              <w:rPr>
                <w:highlight w:val="yellow"/>
              </w:rPr>
            </w:pPr>
            <w:r w:rsidRPr="00D20CFB">
              <w:rPr>
                <w:highlight w:val="yellow"/>
              </w:rPr>
              <w:t xml:space="preserve">R2 assumes RACH-less procedure may be considered for on-board RRC_CONNECTED UEs, which are to be handed over together with the mobile IAB-node (would depend also on the assumptions for UL synch). </w:t>
            </w:r>
          </w:p>
          <w:p w14:paraId="45ABC8C2" w14:textId="77777777" w:rsidR="00D20CFB" w:rsidRDefault="00D20CFB" w:rsidP="00437702"/>
          <w:p w14:paraId="6A4189E6" w14:textId="77777777" w:rsidR="00D20CFB" w:rsidRPr="00D20CFB" w:rsidRDefault="00D20CFB" w:rsidP="00D20CFB">
            <w:pPr>
              <w:pStyle w:val="Agreement"/>
              <w:rPr>
                <w:highlight w:val="yellow"/>
              </w:rPr>
            </w:pPr>
            <w:r w:rsidRPr="00D20CFB">
              <w:rPr>
                <w:highlight w:val="yellow"/>
              </w:rPr>
              <w:t xml:space="preserve">R2 assumes that CHO or delayed RRC </w:t>
            </w:r>
            <w:proofErr w:type="spellStart"/>
            <w:r w:rsidRPr="00D20CFB">
              <w:rPr>
                <w:highlight w:val="yellow"/>
              </w:rPr>
              <w:t>config</w:t>
            </w:r>
            <w:proofErr w:type="spellEnd"/>
            <w:r w:rsidRPr="00D20CFB">
              <w:rPr>
                <w:highlight w:val="yellow"/>
              </w:rPr>
              <w:t xml:space="preserve"> could be the baseline for group mobility (FFS if could be applicable for mobility of IAB MT), i.e. with a preparation in advance (not immediately) of the execution. </w:t>
            </w:r>
          </w:p>
          <w:p w14:paraId="0CAA307E" w14:textId="0CFC49E7" w:rsidR="00D20CFB" w:rsidRDefault="00D20CFB" w:rsidP="00437702"/>
        </w:tc>
      </w:tr>
    </w:tbl>
    <w:p w14:paraId="0EF66052" w14:textId="77777777" w:rsidR="007A3F0C" w:rsidRDefault="007A3F0C" w:rsidP="007A3F0C"/>
    <w:p w14:paraId="48359BB5" w14:textId="4FFF5F56" w:rsidR="007A3F0C" w:rsidRDefault="00D20CFB" w:rsidP="007A3F0C">
      <w:pPr>
        <w:widowControl w:val="0"/>
        <w:wordWrap w:val="0"/>
        <w:overflowPunct/>
        <w:adjustRightInd/>
        <w:spacing w:after="160" w:line="259" w:lineRule="auto"/>
        <w:jc w:val="both"/>
        <w:textAlignment w:val="auto"/>
        <w:rPr>
          <w:rFonts w:eastAsiaTheme="minorEastAsia"/>
          <w:lang w:eastAsia="ko-KR"/>
        </w:rPr>
      </w:pPr>
      <w:r>
        <w:rPr>
          <w:rFonts w:eastAsiaTheme="minorEastAsia"/>
          <w:lang w:eastAsia="ko-KR"/>
        </w:rPr>
        <w:t>A</w:t>
      </w:r>
      <w:r>
        <w:rPr>
          <w:rFonts w:eastAsiaTheme="minorEastAsia" w:hint="eastAsia"/>
          <w:lang w:eastAsia="ko-KR"/>
        </w:rPr>
        <w:t>bove highlighted issues are discussed in this document, i.e</w:t>
      </w:r>
      <w:proofErr w:type="gramStart"/>
      <w:r>
        <w:rPr>
          <w:rFonts w:eastAsiaTheme="minorEastAsia" w:hint="eastAsia"/>
          <w:lang w:eastAsia="ko-KR"/>
        </w:rPr>
        <w:t>.,</w:t>
      </w:r>
      <w:proofErr w:type="gramEnd"/>
      <w:r>
        <w:rPr>
          <w:rFonts w:eastAsiaTheme="minorEastAsia" w:hint="eastAsia"/>
          <w:lang w:eastAsia="ko-KR"/>
        </w:rPr>
        <w:t xml:space="preserve"> </w:t>
      </w:r>
    </w:p>
    <w:p w14:paraId="12F9391E" w14:textId="074BCE21" w:rsidR="00D20CFB" w:rsidRDefault="00D20CFB" w:rsidP="00D20CFB">
      <w:pPr>
        <w:pStyle w:val="a6"/>
        <w:widowControl w:val="0"/>
        <w:numPr>
          <w:ilvl w:val="0"/>
          <w:numId w:val="45"/>
        </w:numPr>
        <w:wordWrap w:val="0"/>
        <w:overflowPunct/>
        <w:adjustRightInd/>
        <w:spacing w:after="160" w:line="259" w:lineRule="auto"/>
        <w:ind w:firstLineChars="0"/>
        <w:jc w:val="both"/>
        <w:textAlignment w:val="auto"/>
        <w:rPr>
          <w:rFonts w:eastAsiaTheme="minorEastAsia"/>
          <w:lang w:eastAsia="ko-KR"/>
        </w:rPr>
      </w:pPr>
      <w:r>
        <w:rPr>
          <w:rFonts w:eastAsiaTheme="minorEastAsia"/>
          <w:lang w:eastAsia="ko-KR"/>
        </w:rPr>
        <w:t>A</w:t>
      </w:r>
      <w:r>
        <w:rPr>
          <w:rFonts w:eastAsiaTheme="minorEastAsia" w:hint="eastAsia"/>
          <w:lang w:eastAsia="ko-KR"/>
        </w:rPr>
        <w:t xml:space="preserve">ny </w:t>
      </w:r>
      <w:r>
        <w:rPr>
          <w:rFonts w:eastAsiaTheme="minorEastAsia"/>
          <w:lang w:eastAsia="ko-KR"/>
        </w:rPr>
        <w:t xml:space="preserve">enhancement on cell (re)selection to/from </w:t>
      </w:r>
      <w:proofErr w:type="spellStart"/>
      <w:r>
        <w:rPr>
          <w:rFonts w:eastAsiaTheme="minorEastAsia"/>
          <w:lang w:eastAsia="ko-KR"/>
        </w:rPr>
        <w:t>mIAB</w:t>
      </w:r>
      <w:proofErr w:type="spellEnd"/>
      <w:r>
        <w:rPr>
          <w:rFonts w:eastAsiaTheme="minorEastAsia"/>
          <w:lang w:eastAsia="ko-KR"/>
        </w:rPr>
        <w:t xml:space="preserve"> node</w:t>
      </w:r>
    </w:p>
    <w:p w14:paraId="022F7FAA" w14:textId="737EFF73" w:rsidR="00D20CFB" w:rsidRDefault="00D20CFB" w:rsidP="00D20CFB">
      <w:pPr>
        <w:pStyle w:val="a6"/>
        <w:widowControl w:val="0"/>
        <w:numPr>
          <w:ilvl w:val="0"/>
          <w:numId w:val="45"/>
        </w:numPr>
        <w:wordWrap w:val="0"/>
        <w:overflowPunct/>
        <w:adjustRightInd/>
        <w:spacing w:after="160" w:line="259" w:lineRule="auto"/>
        <w:ind w:firstLineChars="0"/>
        <w:jc w:val="both"/>
        <w:textAlignment w:val="auto"/>
        <w:rPr>
          <w:rFonts w:eastAsiaTheme="minorEastAsia"/>
          <w:lang w:eastAsia="ko-KR"/>
        </w:rPr>
      </w:pPr>
      <w:r>
        <w:rPr>
          <w:rFonts w:eastAsiaTheme="minorEastAsia"/>
          <w:lang w:eastAsia="ko-KR"/>
        </w:rPr>
        <w:t xml:space="preserve">Whether sending </w:t>
      </w:r>
      <w:proofErr w:type="spellStart"/>
      <w:r>
        <w:rPr>
          <w:rFonts w:eastAsiaTheme="minorEastAsia"/>
          <w:lang w:eastAsia="ko-KR"/>
        </w:rPr>
        <w:t>mIAB</w:t>
      </w:r>
      <w:proofErr w:type="spellEnd"/>
      <w:r>
        <w:rPr>
          <w:rFonts w:eastAsiaTheme="minorEastAsia"/>
          <w:lang w:eastAsia="ko-KR"/>
        </w:rPr>
        <w:t xml:space="preserve"> node indication to donor CU</w:t>
      </w:r>
    </w:p>
    <w:p w14:paraId="6A1ADF5A" w14:textId="012D1728" w:rsidR="00D20CFB" w:rsidRDefault="00D20CFB" w:rsidP="00D20CFB">
      <w:pPr>
        <w:pStyle w:val="a6"/>
        <w:widowControl w:val="0"/>
        <w:numPr>
          <w:ilvl w:val="0"/>
          <w:numId w:val="45"/>
        </w:numPr>
        <w:wordWrap w:val="0"/>
        <w:overflowPunct/>
        <w:adjustRightInd/>
        <w:spacing w:after="160" w:line="259" w:lineRule="auto"/>
        <w:ind w:firstLineChars="0"/>
        <w:jc w:val="both"/>
        <w:textAlignment w:val="auto"/>
        <w:rPr>
          <w:rFonts w:eastAsiaTheme="minorEastAsia"/>
          <w:lang w:eastAsia="ko-KR"/>
        </w:rPr>
      </w:pPr>
      <w:r>
        <w:rPr>
          <w:rFonts w:eastAsiaTheme="minorEastAsia"/>
          <w:lang w:eastAsia="ko-KR"/>
        </w:rPr>
        <w:lastRenderedPageBreak/>
        <w:t xml:space="preserve">Adopting RACH-less handover to the on-board </w:t>
      </w:r>
      <w:proofErr w:type="spellStart"/>
      <w:r>
        <w:rPr>
          <w:rFonts w:eastAsiaTheme="minorEastAsia"/>
          <w:lang w:eastAsia="ko-KR"/>
        </w:rPr>
        <w:t>RRC_Connected</w:t>
      </w:r>
      <w:proofErr w:type="spellEnd"/>
      <w:r>
        <w:rPr>
          <w:rFonts w:eastAsiaTheme="minorEastAsia"/>
          <w:lang w:eastAsia="ko-KR"/>
        </w:rPr>
        <w:t xml:space="preserve"> UEs</w:t>
      </w:r>
    </w:p>
    <w:p w14:paraId="39DE084A" w14:textId="5CF6B6F5" w:rsidR="00D20CFB" w:rsidRPr="00D20CFB" w:rsidRDefault="00D20CFB" w:rsidP="00D20CFB">
      <w:pPr>
        <w:pStyle w:val="a6"/>
        <w:widowControl w:val="0"/>
        <w:numPr>
          <w:ilvl w:val="0"/>
          <w:numId w:val="45"/>
        </w:numPr>
        <w:wordWrap w:val="0"/>
        <w:overflowPunct/>
        <w:adjustRightInd/>
        <w:spacing w:after="160" w:line="259" w:lineRule="auto"/>
        <w:ind w:firstLineChars="0"/>
        <w:jc w:val="both"/>
        <w:textAlignment w:val="auto"/>
        <w:rPr>
          <w:rFonts w:eastAsiaTheme="minorEastAsia"/>
          <w:lang w:eastAsia="ko-KR"/>
        </w:rPr>
      </w:pPr>
      <w:r>
        <w:rPr>
          <w:rFonts w:eastAsiaTheme="minorEastAsia"/>
          <w:lang w:eastAsia="ko-KR"/>
        </w:rPr>
        <w:t xml:space="preserve">Adopting CHO or delayed RRC configuration for group mobility </w:t>
      </w:r>
    </w:p>
    <w:p w14:paraId="6BFCC7EE"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14DA55A8" w14:textId="3B097D2B" w:rsidR="007A3F0C" w:rsidRDefault="007A3F0C" w:rsidP="007A3F0C">
      <w:pPr>
        <w:pStyle w:val="2"/>
        <w:spacing w:after="240"/>
      </w:pPr>
      <w:r>
        <w:t xml:space="preserve">Group mobility </w:t>
      </w:r>
      <w:r w:rsidR="0011659C">
        <w:t xml:space="preserve">upon </w:t>
      </w:r>
      <w:r>
        <w:t>mobile IAB node is handed over.</w:t>
      </w:r>
    </w:p>
    <w:p w14:paraId="1714C4E2" w14:textId="1779710F" w:rsidR="007A3F0C" w:rsidRDefault="007A3F0C" w:rsidP="007A3F0C">
      <w:r>
        <w:t>IAB node’s mobility triggers some event configured</w:t>
      </w:r>
      <w:r w:rsidR="00F33AF3">
        <w:t xml:space="preserve"> to IAB MT</w:t>
      </w:r>
      <w:r>
        <w:t xml:space="preserve"> before and </w:t>
      </w:r>
      <w:r w:rsidR="00197225">
        <w:t xml:space="preserve">the corresponding </w:t>
      </w:r>
      <w:r>
        <w:t xml:space="preserve">measurement report </w:t>
      </w:r>
      <w:r w:rsidR="00F33AF3">
        <w:t xml:space="preserve">from MT </w:t>
      </w:r>
      <w:r>
        <w:t>will be reported to the donor. Assuming full migra</w:t>
      </w:r>
      <w:r w:rsidR="00A43F57">
        <w:t>tion,</w:t>
      </w:r>
      <w:r>
        <w:t xml:space="preserve"> mobile IAB node DU will be anchored at new donor node, and this leads to the change of DU’s configuration, and finally change of the cell run by the DU. The critical configuration to be changed in this case would be NCGI/PCI</w:t>
      </w:r>
      <w:r w:rsidR="00390FFD">
        <w:t xml:space="preserve"> and security parameters</w:t>
      </w:r>
      <w:r>
        <w:t xml:space="preserve">. NCGI change would be reflected to the system information update procedure. So access UEs under a mobile IAB node will get the new NCGI via system information update procedure. Even there could be some delay to get this fresh information, it can be bearable as normal UE’s operation. </w:t>
      </w:r>
    </w:p>
    <w:p w14:paraId="12D1C415" w14:textId="77777777" w:rsidR="007A3F0C" w:rsidRPr="00435144" w:rsidRDefault="007A3F0C" w:rsidP="007A3F0C">
      <w:pPr>
        <w:rPr>
          <w:i/>
        </w:rPr>
      </w:pPr>
      <w:r w:rsidRPr="00435144">
        <w:rPr>
          <w:i/>
        </w:rPr>
        <w:t>O</w:t>
      </w:r>
      <w:r w:rsidRPr="00435144">
        <w:rPr>
          <w:rFonts w:hint="eastAsia"/>
          <w:i/>
        </w:rPr>
        <w:t xml:space="preserve">bservation </w:t>
      </w:r>
      <w:r w:rsidRPr="00435144">
        <w:rPr>
          <w:i/>
        </w:rPr>
        <w:t>1. NCGI change due to the donor node change can be resolved with system information update procedure, and has no problem for the full migration.</w:t>
      </w:r>
    </w:p>
    <w:p w14:paraId="145C1307" w14:textId="77777777" w:rsidR="007A3F0C" w:rsidRDefault="007A3F0C" w:rsidP="007A3F0C"/>
    <w:p w14:paraId="2B52AC44" w14:textId="0C847099" w:rsidR="007A3F0C" w:rsidRDefault="007A3F0C" w:rsidP="007A3F0C">
      <w:r>
        <w:t>For PCI, usually PCI is a given resource to the DU via OAM etc. even in some situation this also can be changed based on the CU’s command. So the PCI conflict is usually controlled by implementation (i.e., checking whether initially given PCI is conflict, and if conflict, CU command DU to change to the other non-conflict PCI.</w:t>
      </w:r>
      <w:r w:rsidR="00621EBD">
        <w:t>)</w:t>
      </w:r>
      <w:r>
        <w:t xml:space="preserve"> Different with this static cell deployment, however, in mobile IAB case, the PCI conflict between mobile IAB node’s one and other (deployed stationary node or even mobile IAB node) ones can continuously happen. In DU perspective, it is safe to follow the new CU’s command to change its PCIs </w:t>
      </w:r>
      <w:r w:rsidR="00621EBD">
        <w:t xml:space="preserve">upon </w:t>
      </w:r>
      <w:r>
        <w:t xml:space="preserve">migration, not sticking to its initially given PCI. Therefore, DU of mobile IAB node would frequently change its PCI per </w:t>
      </w:r>
      <w:proofErr w:type="spellStart"/>
      <w:r w:rsidR="00621EBD">
        <w:t>mIAB’s</w:t>
      </w:r>
      <w:proofErr w:type="spellEnd"/>
      <w:r w:rsidR="00621EBD">
        <w:t xml:space="preserve"> migration</w:t>
      </w:r>
      <w:r>
        <w:t xml:space="preserve">. The PCI is used for basic cell’s identification, and time/frequency synchronization by multiplexing within SSB. Therefore, change of PCI means cell’s change, and that access UE needs to be handed over from old cell with old PCI to the new cell with new PCI. </w:t>
      </w:r>
    </w:p>
    <w:p w14:paraId="1DA77370" w14:textId="277388C1" w:rsidR="007A3F0C" w:rsidRPr="00DB7158" w:rsidRDefault="007A3F0C" w:rsidP="007A3F0C">
      <w:pPr>
        <w:rPr>
          <w:i/>
        </w:rPr>
      </w:pPr>
      <w:r w:rsidRPr="00DB7158">
        <w:rPr>
          <w:rFonts w:hint="eastAsia"/>
          <w:i/>
        </w:rPr>
        <w:t xml:space="preserve">Observation 2. </w:t>
      </w:r>
      <w:r w:rsidRPr="00DB7158">
        <w:rPr>
          <w:i/>
        </w:rPr>
        <w:t>D</w:t>
      </w:r>
      <w:r w:rsidRPr="00DB7158">
        <w:rPr>
          <w:rFonts w:hint="eastAsia"/>
          <w:i/>
        </w:rPr>
        <w:t xml:space="preserve">onor node change </w:t>
      </w:r>
      <w:r w:rsidR="00621EBD">
        <w:rPr>
          <w:i/>
        </w:rPr>
        <w:t xml:space="preserve">at full migration </w:t>
      </w:r>
      <w:r w:rsidRPr="00DB7158">
        <w:rPr>
          <w:rFonts w:hint="eastAsia"/>
          <w:i/>
        </w:rPr>
        <w:t xml:space="preserve">can </w:t>
      </w:r>
      <w:r w:rsidRPr="00DB7158">
        <w:rPr>
          <w:i/>
        </w:rPr>
        <w:t xml:space="preserve">lead to the PCI change </w:t>
      </w:r>
      <w:r w:rsidR="00621EBD">
        <w:rPr>
          <w:i/>
        </w:rPr>
        <w:t>i</w:t>
      </w:r>
      <w:r w:rsidRPr="00DB7158">
        <w:rPr>
          <w:i/>
        </w:rPr>
        <w:t>n the mobile IAB node</w:t>
      </w:r>
      <w:r w:rsidR="00621EBD">
        <w:rPr>
          <w:i/>
        </w:rPr>
        <w:t xml:space="preserve"> DU</w:t>
      </w:r>
      <w:r w:rsidRPr="00DB7158">
        <w:rPr>
          <w:i/>
        </w:rPr>
        <w:t>.</w:t>
      </w:r>
      <w:r w:rsidR="00621EBD">
        <w:rPr>
          <w:i/>
        </w:rPr>
        <w:t xml:space="preserve"> </w:t>
      </w:r>
      <w:proofErr w:type="gramStart"/>
      <w:r>
        <w:rPr>
          <w:i/>
        </w:rPr>
        <w:t>And</w:t>
      </w:r>
      <w:proofErr w:type="gramEnd"/>
      <w:r>
        <w:rPr>
          <w:i/>
        </w:rPr>
        <w:t xml:space="preserve"> access UE needs to change the </w:t>
      </w:r>
      <w:r w:rsidR="00BB2193">
        <w:rPr>
          <w:i/>
        </w:rPr>
        <w:t xml:space="preserve">serving </w:t>
      </w:r>
      <w:r>
        <w:rPr>
          <w:i/>
        </w:rPr>
        <w:t>cell from old cell with old PCI to new cell with new PCI.</w:t>
      </w:r>
    </w:p>
    <w:p w14:paraId="3C045526" w14:textId="77777777" w:rsidR="007A3F0C" w:rsidRDefault="007A3F0C" w:rsidP="007A3F0C"/>
    <w:p w14:paraId="18FD3BAE" w14:textId="77777777" w:rsidR="008012A3" w:rsidRDefault="007A3F0C" w:rsidP="007A3F0C">
      <w:r>
        <w:rPr>
          <w:rFonts w:hint="eastAsia"/>
        </w:rPr>
        <w:t>As discussed in Rel-17, RAN</w:t>
      </w:r>
      <w:r>
        <w:t xml:space="preserve">3 has been considering using logical DU to run a cell per each PCI, and using hard split physical resources for each cell run by each logical DUs. At least, this method can be understood as a feasible way by RAN3 (LS </w:t>
      </w:r>
      <w:r w:rsidRPr="007A3F0C">
        <w:t>R2-2109143</w:t>
      </w:r>
      <w:r>
        <w:t xml:space="preserve">). </w:t>
      </w:r>
      <w:r w:rsidR="008012A3">
        <w:t xml:space="preserve">And last R3 meeting made the agreements as below: </w:t>
      </w:r>
    </w:p>
    <w:tbl>
      <w:tblPr>
        <w:tblStyle w:val="a5"/>
        <w:tblW w:w="0" w:type="auto"/>
        <w:tblLook w:val="04A0" w:firstRow="1" w:lastRow="0" w:firstColumn="1" w:lastColumn="0" w:noHBand="0" w:noVBand="1"/>
      </w:tblPr>
      <w:tblGrid>
        <w:gridCol w:w="9630"/>
      </w:tblGrid>
      <w:tr w:rsidR="008012A3" w14:paraId="410961A7" w14:textId="77777777" w:rsidTr="008012A3">
        <w:tc>
          <w:tcPr>
            <w:tcW w:w="9630" w:type="dxa"/>
          </w:tcPr>
          <w:p w14:paraId="2F85F4B4" w14:textId="5CC6E74F" w:rsidR="008012A3" w:rsidRDefault="008012A3" w:rsidP="008012A3">
            <w:r>
              <w:t>For DU migration cases, to execute the handover of the served UEs, the mobile IAB node concurrently supports two logical mobile IAB DUs, which have F1AP associations with the source CU and the target CU, respectively</w:t>
            </w:r>
          </w:p>
        </w:tc>
      </w:tr>
    </w:tbl>
    <w:p w14:paraId="1C6104C7" w14:textId="77777777" w:rsidR="008012A3" w:rsidRDefault="008012A3" w:rsidP="007A3F0C"/>
    <w:p w14:paraId="0D4354E5" w14:textId="1716E413" w:rsidR="007A3F0C" w:rsidRDefault="007A3F0C" w:rsidP="007A3F0C">
      <w:r>
        <w:t xml:space="preserve">Before or after that new cell is turned on, the handover command could be given to each access UE. Once HO command is given to the UE, then the access UE will do handover procedure with optionally random access. </w:t>
      </w:r>
      <w:r w:rsidR="00621EBD">
        <w:t xml:space="preserve">Considering the </w:t>
      </w:r>
      <w:r>
        <w:t xml:space="preserve">legacy procedure, if this HO command is given to each access UE at the almost same time, then each UE’s random access and sending complete message to the target cell would happen at almost same time. In this situation, RACH conflict can happen, and </w:t>
      </w:r>
      <w:r w:rsidR="008012A3">
        <w:t xml:space="preserve">using </w:t>
      </w:r>
      <w:r>
        <w:t xml:space="preserve">UL resource </w:t>
      </w:r>
      <w:r w:rsidR="008012A3">
        <w:t>could be congested</w:t>
      </w:r>
      <w:r>
        <w:t xml:space="preserve"> </w:t>
      </w:r>
      <w:r w:rsidR="008012A3">
        <w:t>for</w:t>
      </w:r>
      <w:r>
        <w:t xml:space="preserve"> each UEs, which could increase the data interruption to access UE, and even leads to connection failure.  </w:t>
      </w:r>
    </w:p>
    <w:p w14:paraId="6B1C909B" w14:textId="7B1D6468" w:rsidR="007A3F0C" w:rsidRPr="00FA2AE9" w:rsidRDefault="007A3F0C" w:rsidP="007A3F0C">
      <w:pPr>
        <w:rPr>
          <w:i/>
        </w:rPr>
      </w:pPr>
      <w:r w:rsidRPr="00FA2AE9">
        <w:rPr>
          <w:rFonts w:hint="eastAsia"/>
          <w:i/>
        </w:rPr>
        <w:t xml:space="preserve">Observation 3. </w:t>
      </w:r>
      <w:r w:rsidR="00621EBD">
        <w:rPr>
          <w:i/>
        </w:rPr>
        <w:t>Considering legacy HO procedure, f</w:t>
      </w:r>
      <w:r w:rsidRPr="00FA2AE9">
        <w:rPr>
          <w:rFonts w:hint="eastAsia"/>
          <w:i/>
        </w:rPr>
        <w:t xml:space="preserve">ull </w:t>
      </w:r>
      <w:r w:rsidRPr="00FA2AE9">
        <w:rPr>
          <w:i/>
        </w:rPr>
        <w:t>migration might lead to access UE’s handover in bulk at some condensed time duration</w:t>
      </w:r>
      <w:r>
        <w:rPr>
          <w:i/>
        </w:rPr>
        <w:t>, and this could make RACH conflict and transmission of complete message difficult</w:t>
      </w:r>
      <w:r w:rsidRPr="00FA2AE9">
        <w:rPr>
          <w:i/>
        </w:rPr>
        <w:t xml:space="preserve">. </w:t>
      </w:r>
    </w:p>
    <w:p w14:paraId="41E48C16" w14:textId="4AFA05E4" w:rsidR="007A3F0C" w:rsidRDefault="007A3F0C" w:rsidP="007A3F0C">
      <w:r>
        <w:t>From above observation, how</w:t>
      </w:r>
      <w:r w:rsidR="00621EBD">
        <w:t>/when</w:t>
      </w:r>
      <w:r>
        <w:t xml:space="preserve"> to deliver the handover command to the access UE, and how to avoid the bulk handover procedure must be the issue to be discussed and solved.</w:t>
      </w:r>
      <w:r w:rsidR="008012A3">
        <w:t xml:space="preserve"> </w:t>
      </w:r>
    </w:p>
    <w:p w14:paraId="3CA778E5" w14:textId="070ABFEE" w:rsidR="0073527F" w:rsidRDefault="008012A3" w:rsidP="007A3F0C">
      <w:r>
        <w:t>There were some discussion in R2#119-e</w:t>
      </w:r>
      <w:r w:rsidR="0073527F">
        <w:t xml:space="preserve"> whether introducing RACH less HO for access UEs, and what kind of mechanism </w:t>
      </w:r>
      <w:r w:rsidR="00621EBD">
        <w:t xml:space="preserve">can be used </w:t>
      </w:r>
      <w:r w:rsidR="0073527F">
        <w:t xml:space="preserve">for access UE’s handover upon </w:t>
      </w:r>
      <w:proofErr w:type="spellStart"/>
      <w:r w:rsidR="0073527F">
        <w:t>mIAB</w:t>
      </w:r>
      <w:proofErr w:type="spellEnd"/>
      <w:r w:rsidR="0073527F">
        <w:t xml:space="preserve"> node’s migration time.</w:t>
      </w:r>
    </w:p>
    <w:p w14:paraId="4E9F1D39" w14:textId="74FA8579" w:rsidR="008012A3" w:rsidRDefault="0073527F" w:rsidP="007A3F0C">
      <w:r>
        <w:lastRenderedPageBreak/>
        <w:t xml:space="preserve"> Regarding reducing the surge of the </w:t>
      </w:r>
      <w:proofErr w:type="spellStart"/>
      <w:r w:rsidR="00621EBD">
        <w:t>signaling</w:t>
      </w:r>
      <w:proofErr w:type="spellEnd"/>
      <w:r>
        <w:t xml:space="preserve"> after reception of HO CMD, </w:t>
      </w:r>
      <w:proofErr w:type="spellStart"/>
      <w:r>
        <w:t>RACHless</w:t>
      </w:r>
      <w:proofErr w:type="spellEnd"/>
      <w:r>
        <w:t xml:space="preserve"> HO can be adopted since there is no big difference </w:t>
      </w:r>
      <w:r w:rsidR="00621EBD">
        <w:t xml:space="preserve">in </w:t>
      </w:r>
      <w:r>
        <w:t xml:space="preserve">the UL synchronization before and after HO of </w:t>
      </w:r>
      <w:proofErr w:type="spellStart"/>
      <w:r>
        <w:t>mIAB</w:t>
      </w:r>
      <w:proofErr w:type="spellEnd"/>
      <w:r>
        <w:t xml:space="preserve"> </w:t>
      </w:r>
      <w:r w:rsidR="00621EBD">
        <w:t>node</w:t>
      </w:r>
      <w:r>
        <w:t xml:space="preserve">. Since executing RACH is mainly for UL synch, this specific case of </w:t>
      </w:r>
      <w:proofErr w:type="spellStart"/>
      <w:r>
        <w:t>mIAB</w:t>
      </w:r>
      <w:proofErr w:type="spellEnd"/>
      <w:r>
        <w:t xml:space="preserve"> node’s HO can apply the </w:t>
      </w:r>
      <w:proofErr w:type="spellStart"/>
      <w:r>
        <w:t>RACHless</w:t>
      </w:r>
      <w:proofErr w:type="spellEnd"/>
      <w:r>
        <w:t xml:space="preserve"> HO. </w:t>
      </w:r>
    </w:p>
    <w:p w14:paraId="3062A975" w14:textId="7CDDE2EA" w:rsidR="0073527F" w:rsidRPr="0056142B" w:rsidRDefault="0056142B" w:rsidP="0056142B">
      <w:pPr>
        <w:rPr>
          <w:b/>
        </w:rPr>
      </w:pPr>
      <w:r w:rsidRPr="0056142B">
        <w:rPr>
          <w:b/>
        </w:rPr>
        <w:t xml:space="preserve">Proposal </w:t>
      </w:r>
      <w:r w:rsidR="003E1A0F">
        <w:rPr>
          <w:b/>
        </w:rPr>
        <w:t>1</w:t>
      </w:r>
      <w:r w:rsidRPr="0056142B">
        <w:rPr>
          <w:b/>
        </w:rPr>
        <w:t xml:space="preserve">. </w:t>
      </w:r>
      <w:r w:rsidR="0073527F" w:rsidRPr="0056142B">
        <w:rPr>
          <w:b/>
        </w:rPr>
        <w:t xml:space="preserve">RAN2 introduce </w:t>
      </w:r>
      <w:proofErr w:type="spellStart"/>
      <w:r w:rsidR="0073527F" w:rsidRPr="0056142B">
        <w:rPr>
          <w:b/>
        </w:rPr>
        <w:t>RACHless</w:t>
      </w:r>
      <w:proofErr w:type="spellEnd"/>
      <w:r w:rsidR="0073527F" w:rsidRPr="0056142B">
        <w:rPr>
          <w:b/>
        </w:rPr>
        <w:t xml:space="preserve"> handover for access UEs under the </w:t>
      </w:r>
      <w:proofErr w:type="spellStart"/>
      <w:r w:rsidR="0073527F" w:rsidRPr="0056142B">
        <w:rPr>
          <w:b/>
        </w:rPr>
        <w:t>mIAB</w:t>
      </w:r>
      <w:proofErr w:type="spellEnd"/>
      <w:r w:rsidR="0073527F" w:rsidRPr="0056142B">
        <w:rPr>
          <w:b/>
        </w:rPr>
        <w:t xml:space="preserve"> node’s full migration.</w:t>
      </w:r>
    </w:p>
    <w:p w14:paraId="799A0C41" w14:textId="25D511BA" w:rsidR="0073527F" w:rsidRDefault="0073527F" w:rsidP="007A3F0C"/>
    <w:p w14:paraId="6831ADC1" w14:textId="1C5CF9EF" w:rsidR="00C62439" w:rsidRDefault="0073527F" w:rsidP="007A3F0C">
      <w:pPr>
        <w:rPr>
          <w:rFonts w:eastAsiaTheme="minorEastAsia"/>
          <w:lang w:eastAsia="ko-KR"/>
        </w:rPr>
      </w:pPr>
      <w:r>
        <w:rPr>
          <w:rFonts w:eastAsiaTheme="minorEastAsia" w:hint="eastAsia"/>
          <w:lang w:eastAsia="ko-KR"/>
        </w:rPr>
        <w:t xml:space="preserve">Regarding how to reduce the transmission surge </w:t>
      </w:r>
      <w:r>
        <w:rPr>
          <w:rFonts w:eastAsiaTheme="minorEastAsia"/>
          <w:lang w:eastAsia="ko-KR"/>
        </w:rPr>
        <w:t xml:space="preserve">of HO CMD, there could be a candidate solutions such as CHO-like and delayed </w:t>
      </w:r>
      <w:proofErr w:type="spellStart"/>
      <w:r>
        <w:rPr>
          <w:rFonts w:eastAsiaTheme="minorEastAsia"/>
          <w:lang w:eastAsia="ko-KR"/>
        </w:rPr>
        <w:t>RRCReconfig</w:t>
      </w:r>
      <w:proofErr w:type="spellEnd"/>
      <w:r>
        <w:rPr>
          <w:rFonts w:eastAsiaTheme="minorEastAsia"/>
          <w:lang w:eastAsia="ko-KR"/>
        </w:rPr>
        <w:t xml:space="preserve"> method. Which solution is better fit could be only decided when f</w:t>
      </w:r>
      <w:r w:rsidR="004E4867">
        <w:rPr>
          <w:rFonts w:eastAsiaTheme="minorEastAsia"/>
          <w:lang w:eastAsia="ko-KR"/>
        </w:rPr>
        <w:t xml:space="preserve">ull migration baseline is </w:t>
      </w:r>
      <w:r>
        <w:rPr>
          <w:rFonts w:eastAsiaTheme="minorEastAsia"/>
          <w:lang w:eastAsia="ko-KR"/>
        </w:rPr>
        <w:t>more exposed by RAN3. But at least there would be a simple comparison between two. CHO can be used by storing the target cell configuration in the UE, and radio signal based condition would be used</w:t>
      </w:r>
      <w:r w:rsidR="004E4867">
        <w:rPr>
          <w:rFonts w:eastAsiaTheme="minorEastAsia"/>
          <w:lang w:eastAsia="ko-KR"/>
        </w:rPr>
        <w:t>.</w:t>
      </w:r>
      <w:r>
        <w:rPr>
          <w:rFonts w:eastAsiaTheme="minorEastAsia"/>
          <w:lang w:eastAsia="ko-KR"/>
        </w:rPr>
        <w:t xml:space="preserve"> For this operation, </w:t>
      </w:r>
      <w:r w:rsidR="008841EB">
        <w:rPr>
          <w:rFonts w:eastAsiaTheme="minorEastAsia"/>
          <w:lang w:eastAsia="ko-KR"/>
        </w:rPr>
        <w:t>target cell should be turned on before turning off the source cell. Otherwise (</w:t>
      </w:r>
      <w:r w:rsidR="004E4867">
        <w:rPr>
          <w:rFonts w:eastAsiaTheme="minorEastAsia"/>
          <w:lang w:eastAsia="ko-KR"/>
        </w:rPr>
        <w:t xml:space="preserve">if </w:t>
      </w:r>
      <w:r w:rsidR="008841EB">
        <w:rPr>
          <w:rFonts w:eastAsiaTheme="minorEastAsia"/>
          <w:lang w:eastAsia="ko-KR"/>
        </w:rPr>
        <w:t>there is a gap between source cell turning off and target cell turning on), there</w:t>
      </w:r>
      <w:r w:rsidR="00C62439">
        <w:rPr>
          <w:rFonts w:eastAsiaTheme="minorEastAsia"/>
          <w:lang w:eastAsia="ko-KR"/>
        </w:rPr>
        <w:t xml:space="preserve"> could be RLF declaration. Even there are two cells, i.e., source cell and target cell turned on in parallel, the actual execution of CHO happens after source cell’s turning off. So, there could be a time of having no signal from the source cell before C</w:t>
      </w:r>
      <w:r w:rsidR="004E4867">
        <w:rPr>
          <w:rFonts w:eastAsiaTheme="minorEastAsia"/>
          <w:lang w:eastAsia="ko-KR"/>
        </w:rPr>
        <w:t>HO</w:t>
      </w:r>
      <w:r w:rsidR="00C62439">
        <w:rPr>
          <w:rFonts w:eastAsiaTheme="minorEastAsia"/>
          <w:lang w:eastAsia="ko-KR"/>
        </w:rPr>
        <w:t xml:space="preserve"> execution (</w:t>
      </w:r>
      <w:r w:rsidR="004E4867">
        <w:rPr>
          <w:rFonts w:eastAsiaTheme="minorEastAsia"/>
          <w:lang w:eastAsia="ko-KR"/>
        </w:rPr>
        <w:t xml:space="preserve">briefly </w:t>
      </w:r>
      <w:r w:rsidR="00C62439">
        <w:rPr>
          <w:rFonts w:eastAsiaTheme="minorEastAsia"/>
          <w:lang w:eastAsia="ko-KR"/>
        </w:rPr>
        <w:t>we think that is T</w:t>
      </w:r>
      <w:r w:rsidR="004E4867">
        <w:rPr>
          <w:rFonts w:eastAsiaTheme="minorEastAsia"/>
          <w:lang w:eastAsia="ko-KR"/>
        </w:rPr>
        <w:t>ime-to-trigger time used in L3 filtering</w:t>
      </w:r>
      <w:r w:rsidR="00C62439">
        <w:rPr>
          <w:rFonts w:eastAsiaTheme="minorEastAsia"/>
          <w:lang w:eastAsia="ko-KR"/>
        </w:rPr>
        <w:t xml:space="preserve">). </w:t>
      </w:r>
    </w:p>
    <w:p w14:paraId="7A15C6A3" w14:textId="773E2ADA" w:rsidR="0073527F" w:rsidRDefault="00C62439" w:rsidP="007A3F0C">
      <w:pPr>
        <w:rPr>
          <w:rFonts w:eastAsiaTheme="minorEastAsia"/>
          <w:lang w:eastAsia="ko-KR"/>
        </w:rPr>
      </w:pPr>
      <w:r>
        <w:rPr>
          <w:rFonts w:eastAsiaTheme="minorEastAsia"/>
          <w:lang w:eastAsia="ko-KR"/>
        </w:rPr>
        <w:t xml:space="preserve"> </w:t>
      </w:r>
      <w:proofErr w:type="spellStart"/>
      <w:r>
        <w:rPr>
          <w:rFonts w:eastAsiaTheme="minorEastAsia"/>
          <w:lang w:eastAsia="ko-KR"/>
        </w:rPr>
        <w:t>D</w:t>
      </w:r>
      <w:r w:rsidR="008841EB">
        <w:rPr>
          <w:rFonts w:eastAsiaTheme="minorEastAsia"/>
          <w:lang w:eastAsia="ko-KR"/>
        </w:rPr>
        <w:t>elayedRRCReconfig</w:t>
      </w:r>
      <w:proofErr w:type="spellEnd"/>
      <w:r w:rsidR="008841EB">
        <w:rPr>
          <w:rFonts w:eastAsiaTheme="minorEastAsia"/>
          <w:lang w:eastAsia="ko-KR"/>
        </w:rPr>
        <w:t xml:space="preserve"> method </w:t>
      </w:r>
      <w:r w:rsidR="004E4867">
        <w:rPr>
          <w:rFonts w:eastAsiaTheme="minorEastAsia"/>
          <w:lang w:eastAsia="ko-KR"/>
        </w:rPr>
        <w:t xml:space="preserve">concept </w:t>
      </w:r>
      <w:r w:rsidR="008841EB">
        <w:rPr>
          <w:rFonts w:eastAsiaTheme="minorEastAsia"/>
          <w:lang w:eastAsia="ko-KR"/>
        </w:rPr>
        <w:t xml:space="preserve">was already introduced in R17 by RAN3. DU of </w:t>
      </w:r>
      <w:proofErr w:type="spellStart"/>
      <w:r w:rsidR="008841EB">
        <w:rPr>
          <w:rFonts w:eastAsiaTheme="minorEastAsia"/>
          <w:lang w:eastAsia="ko-KR"/>
        </w:rPr>
        <w:t>mIAB</w:t>
      </w:r>
      <w:proofErr w:type="spellEnd"/>
      <w:r w:rsidR="008841EB">
        <w:rPr>
          <w:rFonts w:eastAsiaTheme="minorEastAsia"/>
          <w:lang w:eastAsia="ko-KR"/>
        </w:rPr>
        <w:t xml:space="preserve"> node withholds the </w:t>
      </w:r>
      <w:proofErr w:type="spellStart"/>
      <w:r w:rsidR="008841EB">
        <w:rPr>
          <w:rFonts w:eastAsiaTheme="minorEastAsia"/>
          <w:lang w:eastAsia="ko-KR"/>
        </w:rPr>
        <w:t>RRCReconfgiruation</w:t>
      </w:r>
      <w:proofErr w:type="spellEnd"/>
      <w:r w:rsidR="008841EB">
        <w:rPr>
          <w:rFonts w:eastAsiaTheme="minorEastAsia"/>
          <w:lang w:eastAsia="ko-KR"/>
        </w:rPr>
        <w:t xml:space="preserve"> </w:t>
      </w:r>
      <w:proofErr w:type="spellStart"/>
      <w:r w:rsidR="008841EB">
        <w:rPr>
          <w:rFonts w:eastAsiaTheme="minorEastAsia"/>
          <w:lang w:eastAsia="ko-KR"/>
        </w:rPr>
        <w:t>msg</w:t>
      </w:r>
      <w:proofErr w:type="spellEnd"/>
      <w:r w:rsidR="008841EB">
        <w:rPr>
          <w:rFonts w:eastAsiaTheme="minorEastAsia"/>
          <w:lang w:eastAsia="ko-KR"/>
        </w:rPr>
        <w:t xml:space="preserve"> (i.e., HO CMD in this </w:t>
      </w:r>
      <w:proofErr w:type="spellStart"/>
      <w:r w:rsidR="008841EB">
        <w:rPr>
          <w:rFonts w:eastAsiaTheme="minorEastAsia"/>
          <w:lang w:eastAsia="ko-KR"/>
        </w:rPr>
        <w:t>mIAB</w:t>
      </w:r>
      <w:proofErr w:type="spellEnd"/>
      <w:r w:rsidR="008841EB">
        <w:rPr>
          <w:rFonts w:eastAsiaTheme="minorEastAsia"/>
          <w:lang w:eastAsia="ko-KR"/>
        </w:rPr>
        <w:t xml:space="preserve"> discussion), and after DU’s migration completion, </w:t>
      </w:r>
      <w:proofErr w:type="spellStart"/>
      <w:r w:rsidR="008841EB">
        <w:rPr>
          <w:rFonts w:eastAsiaTheme="minorEastAsia"/>
          <w:lang w:eastAsia="ko-KR"/>
        </w:rPr>
        <w:t>mIAB</w:t>
      </w:r>
      <w:proofErr w:type="spellEnd"/>
      <w:r w:rsidR="008841EB">
        <w:rPr>
          <w:rFonts w:eastAsiaTheme="minorEastAsia"/>
          <w:lang w:eastAsia="ko-KR"/>
        </w:rPr>
        <w:t xml:space="preserve"> node sends HO CMD to each</w:t>
      </w:r>
      <w:r w:rsidR="001E2D6F">
        <w:rPr>
          <w:rFonts w:eastAsiaTheme="minorEastAsia"/>
          <w:lang w:eastAsia="ko-KR"/>
        </w:rPr>
        <w:t xml:space="preserve"> descendant nodes. If considering </w:t>
      </w:r>
      <w:proofErr w:type="spellStart"/>
      <w:r w:rsidR="001E2D6F">
        <w:rPr>
          <w:rFonts w:eastAsiaTheme="minorEastAsia"/>
          <w:lang w:eastAsia="ko-KR"/>
        </w:rPr>
        <w:t>mIAB</w:t>
      </w:r>
      <w:proofErr w:type="spellEnd"/>
      <w:r w:rsidR="001E2D6F">
        <w:rPr>
          <w:rFonts w:eastAsiaTheme="minorEastAsia"/>
          <w:lang w:eastAsia="ko-KR"/>
        </w:rPr>
        <w:t xml:space="preserve"> node case, HO CMD will be given to the each</w:t>
      </w:r>
      <w:r w:rsidR="008841EB">
        <w:rPr>
          <w:rFonts w:eastAsiaTheme="minorEastAsia"/>
          <w:lang w:eastAsia="ko-KR"/>
        </w:rPr>
        <w:t xml:space="preserve"> access UEs</w:t>
      </w:r>
      <w:r w:rsidR="001E2D6F">
        <w:rPr>
          <w:rFonts w:eastAsiaTheme="minorEastAsia"/>
          <w:lang w:eastAsia="ko-KR"/>
        </w:rPr>
        <w:t>, not the descendant nodes</w:t>
      </w:r>
      <w:r w:rsidR="008841EB">
        <w:rPr>
          <w:rFonts w:eastAsiaTheme="minorEastAsia"/>
          <w:lang w:eastAsia="ko-KR"/>
        </w:rPr>
        <w:t xml:space="preserve">. </w:t>
      </w:r>
      <w:r>
        <w:rPr>
          <w:rFonts w:eastAsiaTheme="minorEastAsia"/>
          <w:lang w:eastAsia="ko-KR"/>
        </w:rPr>
        <w:t xml:space="preserve">This HO CMD is via source cell’s link. So there is no vulnerability due to loss of radio link either from source cell or target cell. So source and target cell needs to be coexisted at least for some duration. </w:t>
      </w:r>
    </w:p>
    <w:p w14:paraId="1EB84B09" w14:textId="7C4505FF" w:rsidR="00C62439" w:rsidRPr="004E4867" w:rsidRDefault="00C62439" w:rsidP="007A3F0C">
      <w:pPr>
        <w:rPr>
          <w:rFonts w:eastAsiaTheme="minorEastAsia"/>
          <w:i/>
          <w:lang w:eastAsia="ko-KR"/>
        </w:rPr>
      </w:pPr>
      <w:r w:rsidRPr="004E4867">
        <w:rPr>
          <w:rFonts w:eastAsiaTheme="minorEastAsia"/>
          <w:i/>
          <w:lang w:eastAsia="ko-KR"/>
        </w:rPr>
        <w:t>Observation</w:t>
      </w:r>
      <w:r w:rsidR="004E4867">
        <w:rPr>
          <w:rFonts w:eastAsiaTheme="minorEastAsia"/>
          <w:i/>
          <w:lang w:eastAsia="ko-KR"/>
        </w:rPr>
        <w:t xml:space="preserve"> 4</w:t>
      </w:r>
      <w:r w:rsidRPr="004E4867">
        <w:rPr>
          <w:rFonts w:eastAsiaTheme="minorEastAsia"/>
          <w:i/>
          <w:lang w:eastAsia="ko-KR"/>
        </w:rPr>
        <w:t xml:space="preserve">. CHO might have some link loss time from source cell due to turning off the source cell while delayed </w:t>
      </w:r>
      <w:proofErr w:type="spellStart"/>
      <w:r w:rsidRPr="004E4867">
        <w:rPr>
          <w:rFonts w:eastAsiaTheme="minorEastAsia"/>
          <w:i/>
          <w:lang w:eastAsia="ko-KR"/>
        </w:rPr>
        <w:t>RRCReconfig</w:t>
      </w:r>
      <w:proofErr w:type="spellEnd"/>
      <w:r w:rsidRPr="004E4867">
        <w:rPr>
          <w:rFonts w:eastAsiaTheme="minorEastAsia"/>
          <w:i/>
          <w:lang w:eastAsia="ko-KR"/>
        </w:rPr>
        <w:t xml:space="preserve"> can let access UE have gracefully handover to the target cell. </w:t>
      </w:r>
    </w:p>
    <w:p w14:paraId="25D8F3D0" w14:textId="1BA266AB" w:rsidR="00C62439" w:rsidRDefault="00C62439" w:rsidP="007A3F0C">
      <w:pPr>
        <w:rPr>
          <w:rFonts w:eastAsiaTheme="minorEastAsia"/>
          <w:lang w:eastAsia="ko-KR"/>
        </w:rPr>
      </w:pPr>
      <w:r>
        <w:rPr>
          <w:rFonts w:eastAsiaTheme="minorEastAsia"/>
          <w:lang w:eastAsia="ko-KR"/>
        </w:rPr>
        <w:t>However, every details only can be decided after R3 has the full picture of full migration.</w:t>
      </w:r>
    </w:p>
    <w:p w14:paraId="40496737" w14:textId="14279F21" w:rsidR="00C62439" w:rsidRPr="0056142B" w:rsidRDefault="0056142B" w:rsidP="0056142B">
      <w:pPr>
        <w:rPr>
          <w:b/>
          <w:lang w:eastAsia="ko-KR"/>
        </w:rPr>
      </w:pPr>
      <w:r w:rsidRPr="0056142B">
        <w:rPr>
          <w:b/>
          <w:lang w:eastAsia="ko-KR"/>
        </w:rPr>
        <w:t xml:space="preserve">Proposal </w:t>
      </w:r>
      <w:r w:rsidR="003E1A0F">
        <w:rPr>
          <w:b/>
          <w:lang w:eastAsia="ko-KR"/>
        </w:rPr>
        <w:t>2</w:t>
      </w:r>
      <w:r w:rsidRPr="0056142B">
        <w:rPr>
          <w:b/>
          <w:lang w:eastAsia="ko-KR"/>
        </w:rPr>
        <w:t xml:space="preserve">. </w:t>
      </w:r>
      <w:r w:rsidR="00C62439" w:rsidRPr="0056142B">
        <w:rPr>
          <w:b/>
          <w:lang w:eastAsia="ko-KR"/>
        </w:rPr>
        <w:t xml:space="preserve">RAN2 wait for the more clear information on full migration for deciding the access UE’s handover mechanism upon </w:t>
      </w:r>
      <w:proofErr w:type="spellStart"/>
      <w:r w:rsidR="00C62439" w:rsidRPr="0056142B">
        <w:rPr>
          <w:b/>
          <w:lang w:eastAsia="ko-KR"/>
        </w:rPr>
        <w:t>mIAB’s</w:t>
      </w:r>
      <w:proofErr w:type="spellEnd"/>
      <w:r w:rsidR="00C62439" w:rsidRPr="0056142B">
        <w:rPr>
          <w:b/>
          <w:lang w:eastAsia="ko-KR"/>
        </w:rPr>
        <w:t xml:space="preserve"> full migration.</w:t>
      </w:r>
    </w:p>
    <w:p w14:paraId="77DEF28B" w14:textId="77777777" w:rsidR="007A3F0C" w:rsidRDefault="007A3F0C" w:rsidP="007A3F0C"/>
    <w:p w14:paraId="68A2B519" w14:textId="77777777" w:rsidR="007A3F0C" w:rsidRDefault="007A3F0C" w:rsidP="007A3F0C"/>
    <w:p w14:paraId="450A62B0" w14:textId="77777777" w:rsidR="007A3F0C" w:rsidRDefault="007A3F0C" w:rsidP="007A3F0C">
      <w:pPr>
        <w:pStyle w:val="2"/>
        <w:spacing w:after="240"/>
      </w:pPr>
      <w:r>
        <w:t>Access UE’s operation when mobile IAB node physically moves</w:t>
      </w:r>
    </w:p>
    <w:p w14:paraId="3A78D547" w14:textId="77777777" w:rsidR="007A3F0C" w:rsidRDefault="007A3F0C" w:rsidP="007A3F0C"/>
    <w:p w14:paraId="489AC861" w14:textId="3C1673DF" w:rsidR="007A3F0C" w:rsidRDefault="007A3F0C" w:rsidP="007A3F0C">
      <w:r>
        <w:t>Mobile IAB node’s movement could be fast enough when considering the train or bus with the IAB</w:t>
      </w:r>
      <w:r w:rsidR="00A8323C">
        <w:t xml:space="preserve"> node, and from this, </w:t>
      </w:r>
      <w:r>
        <w:t>access UEs in that transport could face fast and swift neighbo</w:t>
      </w:r>
      <w:r w:rsidR="00A8323C">
        <w:t>u</w:t>
      </w:r>
      <w:r>
        <w:t>r cell</w:t>
      </w:r>
      <w:r w:rsidR="00A8323C">
        <w:t>’s</w:t>
      </w:r>
      <w:r>
        <w:t xml:space="preserve"> appearance/disappearance compared with normal stationary IAB node case, and even that could be simultaneously happened to all of the access UEs under that mobile IAB node. </w:t>
      </w:r>
    </w:p>
    <w:p w14:paraId="750604EE" w14:textId="49DCAB11" w:rsidR="007A3F0C" w:rsidRDefault="007A3F0C" w:rsidP="007A3F0C">
      <w:r>
        <w:t>In connected mode of access UE, usually UE is configured with various types of event for measurement result reporting. There could be absolute signal strength based ones (</w:t>
      </w:r>
      <w:r>
        <w:rPr>
          <w:rFonts w:hint="eastAsia"/>
        </w:rPr>
        <w:t>such as A</w:t>
      </w:r>
      <w:r>
        <w:t>2, A4) and relative signal strength based ones (</w:t>
      </w:r>
      <w:r>
        <w:rPr>
          <w:rFonts w:hint="eastAsia"/>
        </w:rPr>
        <w:t>such as A</w:t>
      </w:r>
      <w:r>
        <w:t xml:space="preserve">3, A5). Considering that most of access UEs will be configured with </w:t>
      </w:r>
      <w:r w:rsidR="00D41EF5">
        <w:t xml:space="preserve">similar </w:t>
      </w:r>
      <w:r>
        <w:t>kind of events</w:t>
      </w:r>
      <w:r w:rsidR="00D41EF5">
        <w:t xml:space="preserve"> (since </w:t>
      </w:r>
      <w:proofErr w:type="spellStart"/>
      <w:r w:rsidR="00D41EF5">
        <w:t>mIAB</w:t>
      </w:r>
      <w:proofErr w:type="spellEnd"/>
      <w:r w:rsidR="00D41EF5">
        <w:t xml:space="preserve"> node need to catch the access UE’</w:t>
      </w:r>
      <w:r w:rsidR="00DA52E5">
        <w:t>s getting on/off the transport)</w:t>
      </w:r>
      <w:r>
        <w:t xml:space="preserve">, once an event is satisfied then there would be measurement reporting from all the access UEs at the same time (or at least almost same time). And even this measurement reporting surge would happen frequently compared with </w:t>
      </w:r>
      <w:r w:rsidR="00583ACC">
        <w:t>the case of</w:t>
      </w:r>
      <w:r>
        <w:t xml:space="preserve"> UE</w:t>
      </w:r>
      <w:r w:rsidR="00583ACC">
        <w:t xml:space="preserve"> under the stationary IAB node</w:t>
      </w:r>
      <w:r>
        <w:t xml:space="preserve">. </w:t>
      </w:r>
    </w:p>
    <w:p w14:paraId="02F81A8C" w14:textId="58DB92C8" w:rsidR="007A3F0C" w:rsidRPr="00882817" w:rsidRDefault="007A3F0C" w:rsidP="007A3F0C">
      <w:pPr>
        <w:rPr>
          <w:i/>
        </w:rPr>
      </w:pPr>
      <w:r w:rsidRPr="00882817">
        <w:rPr>
          <w:i/>
        </w:rPr>
        <w:t xml:space="preserve"> Observation </w:t>
      </w:r>
      <w:r w:rsidR="004E4867">
        <w:rPr>
          <w:i/>
        </w:rPr>
        <w:t>5</w:t>
      </w:r>
      <w:r w:rsidRPr="00882817">
        <w:rPr>
          <w:i/>
        </w:rPr>
        <w:t xml:space="preserve">. In connected mode, </w:t>
      </w:r>
      <w:r w:rsidR="00DA52E5">
        <w:rPr>
          <w:i/>
        </w:rPr>
        <w:t xml:space="preserve">there would be frequent measurement reporting surges from most of access UEs in the </w:t>
      </w:r>
      <w:proofErr w:type="spellStart"/>
      <w:r w:rsidR="00DA52E5">
        <w:rPr>
          <w:i/>
        </w:rPr>
        <w:t>mIAB</w:t>
      </w:r>
      <w:proofErr w:type="spellEnd"/>
      <w:r w:rsidR="00DA52E5">
        <w:rPr>
          <w:i/>
        </w:rPr>
        <w:t xml:space="preserve"> node. </w:t>
      </w:r>
    </w:p>
    <w:p w14:paraId="031F188C" w14:textId="4432F9D5" w:rsidR="007A3F0C" w:rsidRDefault="00D41EF5" w:rsidP="007A3F0C">
      <w:pPr>
        <w:rPr>
          <w:rFonts w:eastAsiaTheme="minorEastAsia"/>
          <w:lang w:eastAsia="ko-KR"/>
        </w:rPr>
      </w:pPr>
      <w:r>
        <w:rPr>
          <w:rFonts w:eastAsiaTheme="minorEastAsia" w:hint="eastAsia"/>
          <w:lang w:eastAsia="ko-KR"/>
        </w:rPr>
        <w:t xml:space="preserve">However, this </w:t>
      </w:r>
      <w:r>
        <w:rPr>
          <w:rFonts w:eastAsiaTheme="minorEastAsia"/>
          <w:lang w:eastAsia="ko-KR"/>
        </w:rPr>
        <w:t>signalling</w:t>
      </w:r>
      <w:r>
        <w:rPr>
          <w:rFonts w:eastAsiaTheme="minorEastAsia" w:hint="eastAsia"/>
          <w:lang w:eastAsia="ko-KR"/>
        </w:rPr>
        <w:t xml:space="preserve"> </w:t>
      </w:r>
      <w:r>
        <w:rPr>
          <w:rFonts w:eastAsiaTheme="minorEastAsia"/>
          <w:lang w:eastAsia="ko-KR"/>
        </w:rPr>
        <w:t>surge can be reduced by the network implementation by releasing absolute signal strength based event</w:t>
      </w:r>
      <w:r w:rsidR="00DA52E5">
        <w:rPr>
          <w:rFonts w:eastAsiaTheme="minorEastAsia"/>
          <w:lang w:eastAsia="ko-KR"/>
        </w:rPr>
        <w:t xml:space="preserve"> from access UEs</w:t>
      </w:r>
      <w:r>
        <w:rPr>
          <w:rFonts w:eastAsiaTheme="minorEastAsia"/>
          <w:lang w:eastAsia="ko-KR"/>
        </w:rPr>
        <w:t xml:space="preserve">, and only keeping relative signal strength based ones. In most cases, the serving cell signal strength would be much higher than the </w:t>
      </w:r>
      <w:proofErr w:type="spellStart"/>
      <w:r>
        <w:rPr>
          <w:rFonts w:eastAsiaTheme="minorEastAsia"/>
          <w:lang w:eastAsia="ko-KR"/>
        </w:rPr>
        <w:t>neighbor</w:t>
      </w:r>
      <w:proofErr w:type="spellEnd"/>
      <w:r>
        <w:rPr>
          <w:rFonts w:eastAsiaTheme="minorEastAsia"/>
          <w:lang w:eastAsia="ko-KR"/>
        </w:rPr>
        <w:t xml:space="preserve"> cell’s one. Therefore, </w:t>
      </w:r>
      <w:r w:rsidR="00DA52E5">
        <w:rPr>
          <w:rFonts w:eastAsiaTheme="minorEastAsia"/>
          <w:lang w:eastAsia="ko-KR"/>
        </w:rPr>
        <w:t>there</w:t>
      </w:r>
      <w:r>
        <w:rPr>
          <w:rFonts w:eastAsiaTheme="minorEastAsia"/>
          <w:lang w:eastAsia="ko-KR"/>
        </w:rPr>
        <w:t xml:space="preserve"> would not be much cases to trigger MR except the case that </w:t>
      </w:r>
      <w:r w:rsidR="00DA52E5">
        <w:rPr>
          <w:rFonts w:eastAsiaTheme="minorEastAsia"/>
          <w:lang w:eastAsia="ko-KR"/>
        </w:rPr>
        <w:t xml:space="preserve">the </w:t>
      </w:r>
      <w:r>
        <w:rPr>
          <w:rFonts w:eastAsiaTheme="minorEastAsia"/>
          <w:lang w:eastAsia="ko-KR"/>
        </w:rPr>
        <w:t xml:space="preserve">access UE is leaving the transport. </w:t>
      </w:r>
    </w:p>
    <w:p w14:paraId="065FD966" w14:textId="24A4A7CF" w:rsidR="00D41EF5" w:rsidRPr="00D41EF5" w:rsidRDefault="00D41EF5" w:rsidP="007A3F0C">
      <w:pPr>
        <w:rPr>
          <w:rFonts w:eastAsiaTheme="minorEastAsia"/>
          <w:i/>
          <w:lang w:eastAsia="ko-KR"/>
        </w:rPr>
      </w:pPr>
      <w:r w:rsidRPr="00D41EF5">
        <w:rPr>
          <w:rFonts w:eastAsiaTheme="minorEastAsia"/>
          <w:i/>
          <w:lang w:eastAsia="ko-KR"/>
        </w:rPr>
        <w:t xml:space="preserve">Observation </w:t>
      </w:r>
      <w:r w:rsidR="004E4867">
        <w:rPr>
          <w:rFonts w:eastAsiaTheme="minorEastAsia"/>
          <w:i/>
          <w:lang w:eastAsia="ko-KR"/>
        </w:rPr>
        <w:t>6</w:t>
      </w:r>
      <w:r w:rsidRPr="00D41EF5">
        <w:rPr>
          <w:rFonts w:eastAsiaTheme="minorEastAsia"/>
          <w:i/>
          <w:lang w:eastAsia="ko-KR"/>
        </w:rPr>
        <w:t>. Measurement report surge can be reduced by network implementation. And no need to enhance the legacy RRM method regarding measurement configuration and report</w:t>
      </w:r>
      <w:r w:rsidR="00DA52E5">
        <w:rPr>
          <w:rFonts w:eastAsiaTheme="minorEastAsia"/>
          <w:i/>
          <w:lang w:eastAsia="ko-KR"/>
        </w:rPr>
        <w:t xml:space="preserve"> on access UEs under the </w:t>
      </w:r>
      <w:proofErr w:type="spellStart"/>
      <w:r w:rsidR="00DA52E5">
        <w:rPr>
          <w:rFonts w:eastAsiaTheme="minorEastAsia"/>
          <w:i/>
          <w:lang w:eastAsia="ko-KR"/>
        </w:rPr>
        <w:t>mIAB</w:t>
      </w:r>
      <w:proofErr w:type="spellEnd"/>
      <w:r w:rsidR="00DA52E5">
        <w:rPr>
          <w:rFonts w:eastAsiaTheme="minorEastAsia"/>
          <w:i/>
          <w:lang w:eastAsia="ko-KR"/>
        </w:rPr>
        <w:t xml:space="preserve"> node</w:t>
      </w:r>
      <w:r w:rsidRPr="00D41EF5">
        <w:rPr>
          <w:rFonts w:eastAsiaTheme="minorEastAsia"/>
          <w:i/>
          <w:lang w:eastAsia="ko-KR"/>
        </w:rPr>
        <w:t xml:space="preserve">. </w:t>
      </w:r>
    </w:p>
    <w:p w14:paraId="4694DBDE" w14:textId="43F489DC" w:rsidR="00D41EF5" w:rsidRPr="0056142B" w:rsidRDefault="0056142B" w:rsidP="0056142B">
      <w:pPr>
        <w:rPr>
          <w:b/>
          <w:lang w:eastAsia="ko-KR"/>
        </w:rPr>
      </w:pPr>
      <w:r w:rsidRPr="0056142B">
        <w:rPr>
          <w:b/>
        </w:rPr>
        <w:lastRenderedPageBreak/>
        <w:t xml:space="preserve">Proposal </w:t>
      </w:r>
      <w:r w:rsidR="003E1A0F">
        <w:rPr>
          <w:b/>
        </w:rPr>
        <w:t>3</w:t>
      </w:r>
      <w:r w:rsidRPr="0056142B">
        <w:rPr>
          <w:b/>
        </w:rPr>
        <w:t xml:space="preserve">. </w:t>
      </w:r>
      <w:r w:rsidR="00426589" w:rsidRPr="0056142B">
        <w:rPr>
          <w:rFonts w:hint="eastAsia"/>
          <w:b/>
        </w:rPr>
        <w:t>RAN2</w:t>
      </w:r>
      <w:r w:rsidR="00426589" w:rsidRPr="0056142B">
        <w:rPr>
          <w:rFonts w:hint="eastAsia"/>
          <w:b/>
          <w:lang w:eastAsia="ko-KR"/>
        </w:rPr>
        <w:t xml:space="preserve"> not to introduce modification on RRM i.e., measurement configuration and measurement report procedure for access UEs </w:t>
      </w:r>
      <w:r w:rsidR="00426589" w:rsidRPr="0056142B">
        <w:rPr>
          <w:b/>
          <w:lang w:eastAsia="ko-KR"/>
        </w:rPr>
        <w:t>under the mobile IAB node for reducing MR surges.</w:t>
      </w:r>
    </w:p>
    <w:p w14:paraId="42546E1B" w14:textId="77777777" w:rsidR="00426589" w:rsidRDefault="00426589" w:rsidP="007A3F0C"/>
    <w:p w14:paraId="5AFD625D" w14:textId="15B897F9" w:rsidR="007A3F0C" w:rsidRDefault="007A3F0C" w:rsidP="007A3F0C">
      <w:r>
        <w:t xml:space="preserve">For idle/inactive mode UEs, there would be also fast cell reselection based on the change of the serving cell signal strength and </w:t>
      </w:r>
      <w:proofErr w:type="spellStart"/>
      <w:r>
        <w:t>neighbor</w:t>
      </w:r>
      <w:proofErr w:type="spellEnd"/>
      <w:r>
        <w:t xml:space="preserve"> cell signal strength. Cell reselection algorithm is based on the relative signal strength difference between serving/</w:t>
      </w:r>
      <w:proofErr w:type="spellStart"/>
      <w:r>
        <w:t>neighbor</w:t>
      </w:r>
      <w:proofErr w:type="spellEnd"/>
      <w:r>
        <w:t xml:space="preserve"> cell</w:t>
      </w:r>
      <w:r w:rsidR="00426589">
        <w:t>.</w:t>
      </w:r>
      <w:r>
        <w:t xml:space="preserve"> </w:t>
      </w:r>
      <w:r w:rsidR="00426589">
        <w:t>T</w:t>
      </w:r>
      <w:r>
        <w:t xml:space="preserve">herefore </w:t>
      </w:r>
      <w:r w:rsidR="00A8323C">
        <w:t xml:space="preserve">when </w:t>
      </w:r>
      <w:r>
        <w:t xml:space="preserve">mobile IAB node is moving through the </w:t>
      </w:r>
      <w:proofErr w:type="spellStart"/>
      <w:r>
        <w:t>cent</w:t>
      </w:r>
      <w:r w:rsidR="00426589">
        <w:t>er</w:t>
      </w:r>
      <w:proofErr w:type="spellEnd"/>
      <w:r w:rsidR="00426589">
        <w:t xml:space="preserve"> of </w:t>
      </w:r>
      <w:proofErr w:type="spellStart"/>
      <w:r w:rsidR="00426589">
        <w:t>neighbor</w:t>
      </w:r>
      <w:proofErr w:type="spellEnd"/>
      <w:r w:rsidR="00426589">
        <w:t xml:space="preserve"> cell or the spot </w:t>
      </w:r>
      <w:r>
        <w:t xml:space="preserve">having the strongest </w:t>
      </w:r>
      <w:r w:rsidR="00A8323C">
        <w:t xml:space="preserve">signal </w:t>
      </w:r>
      <w:r>
        <w:t>strength</w:t>
      </w:r>
      <w:r w:rsidR="00426589">
        <w:t xml:space="preserve"> of </w:t>
      </w:r>
      <w:proofErr w:type="spellStart"/>
      <w:r w:rsidR="00426589">
        <w:t>neighbor</w:t>
      </w:r>
      <w:proofErr w:type="spellEnd"/>
      <w:r w:rsidR="00426589">
        <w:t xml:space="preserve"> cell,</w:t>
      </w:r>
      <w:r>
        <w:t xml:space="preserve"> most of idle/inactive UE will reselect the best cell, but in a while UEs will go back t</w:t>
      </w:r>
      <w:r w:rsidR="00426589">
        <w:t>o the IAB node’s cell due to that</w:t>
      </w:r>
      <w:r>
        <w:t xml:space="preserve"> </w:t>
      </w:r>
      <w:r w:rsidR="00426589">
        <w:t>best serving</w:t>
      </w:r>
      <w:r>
        <w:t xml:space="preserve"> cell’s disappearance. This is unnecessary UE’s operation to waste UE power for measurement and reading MIB/SIBs of changed c</w:t>
      </w:r>
      <w:r w:rsidR="00426589">
        <w:t xml:space="preserve">ell. However, it is grey area that those aspects could become the strong motivation </w:t>
      </w:r>
      <w:r w:rsidR="00076425">
        <w:t xml:space="preserve">to introduce the cell reselection mechanism. </w:t>
      </w:r>
      <w:r>
        <w:t xml:space="preserve"> </w:t>
      </w:r>
    </w:p>
    <w:p w14:paraId="45B380C4" w14:textId="655230DD" w:rsidR="007A3F0C" w:rsidRPr="00B15AFA" w:rsidRDefault="007A3F0C" w:rsidP="007A3F0C">
      <w:pPr>
        <w:rPr>
          <w:i/>
        </w:rPr>
      </w:pPr>
      <w:r w:rsidRPr="00B15AFA">
        <w:rPr>
          <w:i/>
        </w:rPr>
        <w:t>O</w:t>
      </w:r>
      <w:r w:rsidRPr="00B15AFA">
        <w:rPr>
          <w:rFonts w:hint="eastAsia"/>
          <w:i/>
        </w:rPr>
        <w:t xml:space="preserve">bservation </w:t>
      </w:r>
      <w:r w:rsidR="004E4867">
        <w:rPr>
          <w:i/>
        </w:rPr>
        <w:t>7</w:t>
      </w:r>
      <w:r w:rsidRPr="00B15AFA">
        <w:rPr>
          <w:i/>
        </w:rPr>
        <w:t xml:space="preserve">. In idle/inactive mode, access UE might do cell reselection to </w:t>
      </w:r>
      <w:proofErr w:type="spellStart"/>
      <w:r w:rsidRPr="00B15AFA">
        <w:rPr>
          <w:i/>
        </w:rPr>
        <w:t>neighbor</w:t>
      </w:r>
      <w:proofErr w:type="spellEnd"/>
      <w:r w:rsidRPr="00B15AFA">
        <w:rPr>
          <w:i/>
        </w:rPr>
        <w:t xml:space="preserve"> cell </w:t>
      </w:r>
      <w:r>
        <w:rPr>
          <w:i/>
        </w:rPr>
        <w:t xml:space="preserve">unnecessarily </w:t>
      </w:r>
      <w:r w:rsidRPr="00B15AFA">
        <w:rPr>
          <w:i/>
        </w:rPr>
        <w:t>and come back to the IAB node’s cell.</w:t>
      </w:r>
    </w:p>
    <w:p w14:paraId="125FC27C" w14:textId="77777777" w:rsidR="007A3F0C" w:rsidRDefault="007A3F0C" w:rsidP="007A3F0C"/>
    <w:p w14:paraId="7EB4DC5F" w14:textId="77777777" w:rsidR="007A3F0C" w:rsidRDefault="007A3F0C" w:rsidP="007A3F0C">
      <w:r>
        <w:t>From above observations, it is necessary to discuss whether those observation would be a problem, and if so, to find the solutions.</w:t>
      </w:r>
    </w:p>
    <w:p w14:paraId="4CF69029" w14:textId="61D175D5" w:rsidR="007A3F0C" w:rsidRPr="0056142B" w:rsidRDefault="0056142B" w:rsidP="0056142B">
      <w:pPr>
        <w:rPr>
          <w:b/>
        </w:rPr>
      </w:pPr>
      <w:r w:rsidRPr="0056142B">
        <w:rPr>
          <w:b/>
        </w:rPr>
        <w:t xml:space="preserve">Proposal </w:t>
      </w:r>
      <w:r w:rsidR="003E1A0F">
        <w:rPr>
          <w:b/>
        </w:rPr>
        <w:t>4</w:t>
      </w:r>
      <w:r w:rsidRPr="0056142B">
        <w:rPr>
          <w:b/>
        </w:rPr>
        <w:t xml:space="preserve">. </w:t>
      </w:r>
      <w:r w:rsidR="00076425" w:rsidRPr="0056142B">
        <w:rPr>
          <w:b/>
        </w:rPr>
        <w:t>RAN2 discuss whether i</w:t>
      </w:r>
      <w:r w:rsidR="007A3F0C" w:rsidRPr="0056142B">
        <w:rPr>
          <w:b/>
        </w:rPr>
        <w:t>n idle/inactive mode</w:t>
      </w:r>
      <w:r w:rsidR="00BC1E32" w:rsidRPr="0056142B">
        <w:rPr>
          <w:b/>
        </w:rPr>
        <w:t xml:space="preserve"> of access UE</w:t>
      </w:r>
      <w:r w:rsidR="007A3F0C" w:rsidRPr="0056142B">
        <w:rPr>
          <w:b/>
        </w:rPr>
        <w:t xml:space="preserve">, whether </w:t>
      </w:r>
      <w:r w:rsidR="00BC1E32" w:rsidRPr="0056142B">
        <w:rPr>
          <w:b/>
        </w:rPr>
        <w:t xml:space="preserve">access UE’s </w:t>
      </w:r>
      <w:r w:rsidR="007A3F0C" w:rsidRPr="0056142B">
        <w:rPr>
          <w:b/>
        </w:rPr>
        <w:t xml:space="preserve">cell reselection </w:t>
      </w:r>
      <w:r w:rsidR="00BC1E32" w:rsidRPr="0056142B">
        <w:rPr>
          <w:b/>
        </w:rPr>
        <w:t xml:space="preserve">to neighbour cell (out of </w:t>
      </w:r>
      <w:r w:rsidR="00CE5791" w:rsidRPr="0056142B">
        <w:rPr>
          <w:b/>
        </w:rPr>
        <w:t xml:space="preserve">the </w:t>
      </w:r>
      <w:r w:rsidR="00BC1E32" w:rsidRPr="0056142B">
        <w:rPr>
          <w:b/>
        </w:rPr>
        <w:t>IAB node</w:t>
      </w:r>
      <w:r w:rsidR="00CE5791" w:rsidRPr="0056142B">
        <w:rPr>
          <w:b/>
        </w:rPr>
        <w:t>)</w:t>
      </w:r>
      <w:r w:rsidR="00BC1E32" w:rsidRPr="0056142B">
        <w:rPr>
          <w:b/>
        </w:rPr>
        <w:t xml:space="preserve"> and again back to </w:t>
      </w:r>
      <w:r w:rsidR="00CE5791" w:rsidRPr="0056142B">
        <w:rPr>
          <w:b/>
        </w:rPr>
        <w:t>the</w:t>
      </w:r>
      <w:r w:rsidR="00BC1E32" w:rsidRPr="0056142B">
        <w:rPr>
          <w:b/>
        </w:rPr>
        <w:t xml:space="preserve"> cell of </w:t>
      </w:r>
      <w:r w:rsidR="007A3F0C" w:rsidRPr="0056142B">
        <w:rPr>
          <w:b/>
        </w:rPr>
        <w:t>the IAB node</w:t>
      </w:r>
      <w:r w:rsidR="00CE5791" w:rsidRPr="0056142B">
        <w:rPr>
          <w:b/>
        </w:rPr>
        <w:t xml:space="preserve"> could be a problem</w:t>
      </w:r>
      <w:r w:rsidR="007A3F0C" w:rsidRPr="0056142B">
        <w:rPr>
          <w:b/>
        </w:rPr>
        <w:t xml:space="preserve">, and if so, </w:t>
      </w:r>
      <w:r w:rsidR="00CE5791" w:rsidRPr="0056142B">
        <w:rPr>
          <w:b/>
        </w:rPr>
        <w:t xml:space="preserve">to find </w:t>
      </w:r>
      <w:r w:rsidR="007A3F0C" w:rsidRPr="0056142B">
        <w:rPr>
          <w:b/>
        </w:rPr>
        <w:t xml:space="preserve">the solution for this. </w:t>
      </w:r>
    </w:p>
    <w:p w14:paraId="2A0557E0" w14:textId="7F7907EB" w:rsidR="007A3F0C" w:rsidRDefault="007A3F0C" w:rsidP="007A3F0C"/>
    <w:p w14:paraId="30B4E91C" w14:textId="77777777" w:rsidR="004E4867" w:rsidRDefault="004E4867" w:rsidP="004E4867">
      <w:pPr>
        <w:pStyle w:val="1"/>
        <w:tabs>
          <w:tab w:val="clear" w:pos="397"/>
        </w:tabs>
        <w:overflowPunct/>
        <w:autoSpaceDE/>
        <w:autoSpaceDN/>
        <w:adjustRightInd/>
        <w:ind w:left="0" w:firstLine="0"/>
        <w:textAlignment w:val="auto"/>
      </w:pPr>
      <w:r>
        <w:t>Support of node mobility</w:t>
      </w:r>
    </w:p>
    <w:p w14:paraId="275FA566" w14:textId="77777777" w:rsidR="004E4867" w:rsidRDefault="004E4867" w:rsidP="004E4867">
      <w:pPr>
        <w:rPr>
          <w:lang w:val="en-US" w:eastAsia="zh-CN"/>
        </w:rPr>
      </w:pPr>
      <w:r>
        <w:rPr>
          <w:lang w:val="en-US" w:eastAsia="zh-CN"/>
        </w:rPr>
        <w:t>In RAN2#119-e, the following was endorsed as a discussion point for RAN2#119bis-e:</w:t>
      </w:r>
    </w:p>
    <w:p w14:paraId="1B5905CF" w14:textId="77777777" w:rsidR="004E4867" w:rsidRDefault="004E4867" w:rsidP="004E4867">
      <w:pPr>
        <w:pStyle w:val="Agreement"/>
        <w:numPr>
          <w:ilvl w:val="0"/>
          <w:numId w:val="0"/>
        </w:numPr>
        <w:ind w:left="1619"/>
      </w:pPr>
      <w:r>
        <w:t xml:space="preserve">P2: Can discuss whether </w:t>
      </w:r>
      <w:proofErr w:type="gramStart"/>
      <w:r>
        <w:t>The</w:t>
      </w:r>
      <w:proofErr w:type="gramEnd"/>
      <w:r>
        <w:t xml:space="preserve"> mobile IAB-MT need to send a mobile-IAB indication (capability or mobility) to the IAB-donor-CU,</w:t>
      </w:r>
    </w:p>
    <w:p w14:paraId="4140A22D" w14:textId="77777777" w:rsidR="004E4867" w:rsidRDefault="004E4867" w:rsidP="004E4867">
      <w:pPr>
        <w:rPr>
          <w:lang w:val="en-US" w:eastAsia="zh-CN"/>
        </w:rPr>
      </w:pPr>
    </w:p>
    <w:p w14:paraId="679A793A" w14:textId="77777777" w:rsidR="004E4867" w:rsidRDefault="004E4867" w:rsidP="004E4867">
      <w:pPr>
        <w:rPr>
          <w:lang w:val="en-US" w:eastAsia="zh-CN"/>
        </w:rPr>
      </w:pPr>
      <w:r>
        <w:rPr>
          <w:lang w:val="en-US" w:eastAsia="zh-CN"/>
        </w:rPr>
        <w:t>A mobile IAB node will place significant burden (technical requirements) on its parent IAB-DU and related CU. Assuming there is no mobile IAB indication send to the IAB-donor-CU, the mobile IAB node may be handed over by the CU to a parent node which has no adequate capabilities. This would then lead to additional HO procedure to move the mobile node to another parent node, incurring further delay and signaling overhead. We therefore believe that:</w:t>
      </w:r>
    </w:p>
    <w:p w14:paraId="2C29A0F4" w14:textId="5BBA4086" w:rsidR="004E4867" w:rsidRPr="0056142B" w:rsidRDefault="0056142B" w:rsidP="0056142B">
      <w:pPr>
        <w:rPr>
          <w:b/>
          <w:lang w:val="en-US" w:eastAsia="zh-CN"/>
        </w:rPr>
      </w:pPr>
      <w:r w:rsidRPr="0056142B">
        <w:rPr>
          <w:b/>
        </w:rPr>
        <w:t xml:space="preserve">Proposal </w:t>
      </w:r>
      <w:r w:rsidR="003E1A0F">
        <w:rPr>
          <w:b/>
        </w:rPr>
        <w:t>5</w:t>
      </w:r>
      <w:r w:rsidRPr="0056142B">
        <w:rPr>
          <w:b/>
        </w:rPr>
        <w:t xml:space="preserve">. </w:t>
      </w:r>
      <w:r w:rsidR="004E4867" w:rsidRPr="0056142B">
        <w:rPr>
          <w:b/>
        </w:rPr>
        <w:t>The</w:t>
      </w:r>
      <w:r w:rsidR="004E4867" w:rsidRPr="0056142B">
        <w:rPr>
          <w:b/>
          <w:lang w:val="en-US" w:eastAsia="zh-CN"/>
        </w:rPr>
        <w:t xml:space="preserve"> mobile IAB-MT shall send a mobile-IAB indication to the IAB-donor-CU.</w:t>
      </w:r>
    </w:p>
    <w:p w14:paraId="54108648" w14:textId="77777777" w:rsidR="004E4867" w:rsidRDefault="004E4867" w:rsidP="004E4867">
      <w:pPr>
        <w:rPr>
          <w:lang w:val="en-US" w:eastAsia="zh-CN"/>
        </w:rPr>
      </w:pPr>
      <w:r>
        <w:rPr>
          <w:lang w:val="en-US" w:eastAsia="zh-CN"/>
        </w:rPr>
        <w:t>To complement this aspect, it would be helpful if the IAB-DUs which can serve as parents to mobile IAB nodes were to broadcast this capability. This would assist the initial attachment of the mobile IAB node to the network. We therefore additionally propose the following:</w:t>
      </w:r>
    </w:p>
    <w:p w14:paraId="18FC699A" w14:textId="2068D02C" w:rsidR="004E4867" w:rsidRPr="0056142B" w:rsidRDefault="0056142B" w:rsidP="0056142B">
      <w:pPr>
        <w:rPr>
          <w:b/>
        </w:rPr>
      </w:pPr>
      <w:r w:rsidRPr="0056142B">
        <w:rPr>
          <w:b/>
        </w:rPr>
        <w:t xml:space="preserve">Proposal </w:t>
      </w:r>
      <w:r w:rsidR="003E1A0F">
        <w:rPr>
          <w:b/>
        </w:rPr>
        <w:t>6</w:t>
      </w:r>
      <w:r w:rsidRPr="0056142B">
        <w:rPr>
          <w:b/>
        </w:rPr>
        <w:t xml:space="preserve">. </w:t>
      </w:r>
      <w:r w:rsidR="004E4867" w:rsidRPr="0056142B">
        <w:rPr>
          <w:b/>
        </w:rPr>
        <w:t>IAB-DU that can serve as the parent of the mobile IAB node shall broadcast this support.</w:t>
      </w:r>
    </w:p>
    <w:p w14:paraId="266BEC93" w14:textId="53012552" w:rsidR="004E4867" w:rsidRPr="0056142B" w:rsidRDefault="0056142B" w:rsidP="0056142B">
      <w:pPr>
        <w:rPr>
          <w:b/>
        </w:rPr>
      </w:pPr>
      <w:r w:rsidRPr="0056142B">
        <w:rPr>
          <w:b/>
        </w:rPr>
        <w:t xml:space="preserve">Proposal </w:t>
      </w:r>
      <w:r w:rsidR="003E1A0F">
        <w:rPr>
          <w:b/>
        </w:rPr>
        <w:t>7</w:t>
      </w:r>
      <w:r w:rsidRPr="0056142B">
        <w:rPr>
          <w:b/>
        </w:rPr>
        <w:t xml:space="preserve">. </w:t>
      </w:r>
      <w:r w:rsidR="004E4867" w:rsidRPr="0056142B">
        <w:rPr>
          <w:b/>
        </w:rPr>
        <w:t>RAN2 to discuss how this support indication is signalled.</w:t>
      </w:r>
    </w:p>
    <w:p w14:paraId="6131B649" w14:textId="4B2AE85C" w:rsidR="004E4867" w:rsidRDefault="004E4867" w:rsidP="007A3F0C"/>
    <w:p w14:paraId="6A8612A7" w14:textId="77777777" w:rsidR="005D4E72" w:rsidRDefault="005D4E72" w:rsidP="00B2129D">
      <w:pPr>
        <w:rPr>
          <w:rFonts w:eastAsiaTheme="minorEastAsia"/>
          <w:lang w:eastAsia="ko-KR"/>
        </w:rPr>
      </w:pPr>
    </w:p>
    <w:p w14:paraId="3585EF94" w14:textId="77777777" w:rsidR="00AE762B" w:rsidRPr="00A81CC4" w:rsidRDefault="00AE762B" w:rsidP="00DB528F">
      <w:pPr>
        <w:rPr>
          <w:rFonts w:eastAsiaTheme="minorEastAsia"/>
          <w:lang w:eastAsia="ko-KR"/>
        </w:rPr>
      </w:pPr>
    </w:p>
    <w:bookmarkEnd w:id="2"/>
    <w:bookmarkEnd w:id="3"/>
    <w:p w14:paraId="6E44DB6D" w14:textId="77777777" w:rsidR="00463669" w:rsidRDefault="00463669" w:rsidP="00463669">
      <w:pPr>
        <w:pStyle w:val="1"/>
        <w:rPr>
          <w:rFonts w:eastAsia="SimSun"/>
          <w:sz w:val="32"/>
          <w:lang w:eastAsia="zh-CN"/>
        </w:rPr>
      </w:pPr>
      <w:r>
        <w:rPr>
          <w:rFonts w:eastAsia="SimSun"/>
          <w:sz w:val="32"/>
          <w:lang w:eastAsia="zh-CN"/>
        </w:rPr>
        <w:t>Conclusion</w:t>
      </w:r>
    </w:p>
    <w:p w14:paraId="62A2DC8E" w14:textId="4284A630" w:rsidR="00463669" w:rsidRDefault="00463669" w:rsidP="00463669">
      <w:pPr>
        <w:rPr>
          <w:rFonts w:eastAsia="SimSun"/>
          <w:kern w:val="2"/>
          <w:szCs w:val="22"/>
        </w:rPr>
      </w:pPr>
      <w:bookmarkStart w:id="4"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p w14:paraId="0E60A24E" w14:textId="77777777" w:rsidR="00710CB5" w:rsidRPr="00435144" w:rsidRDefault="00710CB5" w:rsidP="00710CB5">
      <w:pPr>
        <w:rPr>
          <w:i/>
        </w:rPr>
      </w:pPr>
      <w:r w:rsidRPr="00435144">
        <w:rPr>
          <w:i/>
        </w:rPr>
        <w:t>O</w:t>
      </w:r>
      <w:r w:rsidRPr="00435144">
        <w:rPr>
          <w:rFonts w:hint="eastAsia"/>
          <w:i/>
        </w:rPr>
        <w:t xml:space="preserve">bservation </w:t>
      </w:r>
      <w:r w:rsidRPr="00435144">
        <w:rPr>
          <w:i/>
        </w:rPr>
        <w:t>1. NCGI change due to the donor node change can be resolved with system information update procedure, and has no problem for the full migration.</w:t>
      </w:r>
    </w:p>
    <w:p w14:paraId="2C3F3652" w14:textId="77777777" w:rsidR="00710CB5" w:rsidRPr="00DB7158" w:rsidRDefault="00710CB5" w:rsidP="00710CB5">
      <w:pPr>
        <w:rPr>
          <w:i/>
        </w:rPr>
      </w:pPr>
      <w:r w:rsidRPr="00DB7158">
        <w:rPr>
          <w:rFonts w:hint="eastAsia"/>
          <w:i/>
        </w:rPr>
        <w:lastRenderedPageBreak/>
        <w:t xml:space="preserve">Observation 2. </w:t>
      </w:r>
      <w:r w:rsidRPr="00DB7158">
        <w:rPr>
          <w:i/>
        </w:rPr>
        <w:t>D</w:t>
      </w:r>
      <w:r w:rsidRPr="00DB7158">
        <w:rPr>
          <w:rFonts w:hint="eastAsia"/>
          <w:i/>
        </w:rPr>
        <w:t xml:space="preserve">onor node change </w:t>
      </w:r>
      <w:r>
        <w:rPr>
          <w:i/>
        </w:rPr>
        <w:t xml:space="preserve">at full migration </w:t>
      </w:r>
      <w:r w:rsidRPr="00DB7158">
        <w:rPr>
          <w:rFonts w:hint="eastAsia"/>
          <w:i/>
        </w:rPr>
        <w:t xml:space="preserve">can </w:t>
      </w:r>
      <w:r w:rsidRPr="00DB7158">
        <w:rPr>
          <w:i/>
        </w:rPr>
        <w:t xml:space="preserve">lead to the PCI change </w:t>
      </w:r>
      <w:r>
        <w:rPr>
          <w:i/>
        </w:rPr>
        <w:t>i</w:t>
      </w:r>
      <w:r w:rsidRPr="00DB7158">
        <w:rPr>
          <w:i/>
        </w:rPr>
        <w:t>n the mobile IAB node</w:t>
      </w:r>
      <w:r>
        <w:rPr>
          <w:i/>
        </w:rPr>
        <w:t xml:space="preserve"> DU</w:t>
      </w:r>
      <w:r w:rsidRPr="00DB7158">
        <w:rPr>
          <w:i/>
        </w:rPr>
        <w:t>.</w:t>
      </w:r>
      <w:r>
        <w:rPr>
          <w:i/>
        </w:rPr>
        <w:t xml:space="preserve"> </w:t>
      </w:r>
      <w:proofErr w:type="gramStart"/>
      <w:r>
        <w:rPr>
          <w:i/>
        </w:rPr>
        <w:t>And</w:t>
      </w:r>
      <w:proofErr w:type="gramEnd"/>
      <w:r>
        <w:rPr>
          <w:i/>
        </w:rPr>
        <w:t xml:space="preserve"> access UE needs to change the serving cell from old cell with old PCI to new cell with new PCI.</w:t>
      </w:r>
    </w:p>
    <w:p w14:paraId="1013B32C" w14:textId="77777777" w:rsidR="00710CB5" w:rsidRPr="00FA2AE9" w:rsidRDefault="00710CB5" w:rsidP="00710CB5">
      <w:pPr>
        <w:rPr>
          <w:i/>
        </w:rPr>
      </w:pPr>
      <w:r w:rsidRPr="00FA2AE9">
        <w:rPr>
          <w:rFonts w:hint="eastAsia"/>
          <w:i/>
        </w:rPr>
        <w:t xml:space="preserve">Observation 3. </w:t>
      </w:r>
      <w:r>
        <w:rPr>
          <w:i/>
        </w:rPr>
        <w:t>Considering legacy HO procedure, f</w:t>
      </w:r>
      <w:r w:rsidRPr="00FA2AE9">
        <w:rPr>
          <w:rFonts w:hint="eastAsia"/>
          <w:i/>
        </w:rPr>
        <w:t xml:space="preserve">ull </w:t>
      </w:r>
      <w:r w:rsidRPr="00FA2AE9">
        <w:rPr>
          <w:i/>
        </w:rPr>
        <w:t>migration might lead to access UE’s handover in bulk at some condensed time duration</w:t>
      </w:r>
      <w:r>
        <w:rPr>
          <w:i/>
        </w:rPr>
        <w:t>, and this could make RACH conflict and transmission of complete message difficult</w:t>
      </w:r>
      <w:r w:rsidRPr="00FA2AE9">
        <w:rPr>
          <w:i/>
        </w:rPr>
        <w:t xml:space="preserve">. </w:t>
      </w:r>
    </w:p>
    <w:p w14:paraId="1A6E532A" w14:textId="509554CB" w:rsidR="0056142B" w:rsidRPr="0056142B" w:rsidRDefault="0056142B" w:rsidP="0056142B">
      <w:pPr>
        <w:rPr>
          <w:b/>
        </w:rPr>
      </w:pPr>
      <w:r w:rsidRPr="0056142B">
        <w:rPr>
          <w:b/>
        </w:rPr>
        <w:t xml:space="preserve">Proposal </w:t>
      </w:r>
      <w:r w:rsidR="003E1A0F">
        <w:rPr>
          <w:b/>
        </w:rPr>
        <w:t>1</w:t>
      </w:r>
      <w:r w:rsidRPr="0056142B">
        <w:rPr>
          <w:b/>
        </w:rPr>
        <w:t xml:space="preserve">. RAN2 introduce </w:t>
      </w:r>
      <w:proofErr w:type="spellStart"/>
      <w:r w:rsidRPr="0056142B">
        <w:rPr>
          <w:b/>
        </w:rPr>
        <w:t>RACHless</w:t>
      </w:r>
      <w:proofErr w:type="spellEnd"/>
      <w:r w:rsidRPr="0056142B">
        <w:rPr>
          <w:b/>
        </w:rPr>
        <w:t xml:space="preserve"> handover for access UEs under the </w:t>
      </w:r>
      <w:proofErr w:type="spellStart"/>
      <w:r w:rsidRPr="0056142B">
        <w:rPr>
          <w:b/>
        </w:rPr>
        <w:t>mIAB</w:t>
      </w:r>
      <w:proofErr w:type="spellEnd"/>
      <w:r w:rsidRPr="0056142B">
        <w:rPr>
          <w:b/>
        </w:rPr>
        <w:t xml:space="preserve"> node’s full migration.</w:t>
      </w:r>
    </w:p>
    <w:p w14:paraId="04549C64" w14:textId="77777777" w:rsidR="00710CB5" w:rsidRPr="004E4867" w:rsidRDefault="00710CB5" w:rsidP="00710CB5">
      <w:pPr>
        <w:rPr>
          <w:rFonts w:eastAsiaTheme="minorEastAsia"/>
          <w:i/>
          <w:lang w:eastAsia="ko-KR"/>
        </w:rPr>
      </w:pPr>
      <w:r w:rsidRPr="004E4867">
        <w:rPr>
          <w:rFonts w:eastAsiaTheme="minorEastAsia"/>
          <w:i/>
          <w:lang w:eastAsia="ko-KR"/>
        </w:rPr>
        <w:t>Observation</w:t>
      </w:r>
      <w:r>
        <w:rPr>
          <w:rFonts w:eastAsiaTheme="minorEastAsia"/>
          <w:i/>
          <w:lang w:eastAsia="ko-KR"/>
        </w:rPr>
        <w:t xml:space="preserve"> 4</w:t>
      </w:r>
      <w:r w:rsidRPr="004E4867">
        <w:rPr>
          <w:rFonts w:eastAsiaTheme="minorEastAsia"/>
          <w:i/>
          <w:lang w:eastAsia="ko-KR"/>
        </w:rPr>
        <w:t xml:space="preserve">. CHO might have some link loss time from source cell due to turning off the source cell while delayed </w:t>
      </w:r>
      <w:proofErr w:type="spellStart"/>
      <w:r w:rsidRPr="004E4867">
        <w:rPr>
          <w:rFonts w:eastAsiaTheme="minorEastAsia"/>
          <w:i/>
          <w:lang w:eastAsia="ko-KR"/>
        </w:rPr>
        <w:t>RRCReconfig</w:t>
      </w:r>
      <w:proofErr w:type="spellEnd"/>
      <w:r w:rsidRPr="004E4867">
        <w:rPr>
          <w:rFonts w:eastAsiaTheme="minorEastAsia"/>
          <w:i/>
          <w:lang w:eastAsia="ko-KR"/>
        </w:rPr>
        <w:t xml:space="preserve"> can let access UE have gracefully handover to the target cell. </w:t>
      </w:r>
    </w:p>
    <w:p w14:paraId="63D1AD28" w14:textId="17EEBF10" w:rsidR="0056142B" w:rsidRPr="0056142B" w:rsidRDefault="0056142B" w:rsidP="0056142B">
      <w:pPr>
        <w:rPr>
          <w:b/>
          <w:lang w:eastAsia="ko-KR"/>
        </w:rPr>
      </w:pPr>
      <w:r w:rsidRPr="0056142B">
        <w:rPr>
          <w:b/>
          <w:lang w:eastAsia="ko-KR"/>
        </w:rPr>
        <w:t xml:space="preserve">Proposal </w:t>
      </w:r>
      <w:r w:rsidR="003E1A0F">
        <w:rPr>
          <w:b/>
          <w:lang w:eastAsia="ko-KR"/>
        </w:rPr>
        <w:t>2</w:t>
      </w:r>
      <w:r w:rsidRPr="0056142B">
        <w:rPr>
          <w:b/>
          <w:lang w:eastAsia="ko-KR"/>
        </w:rPr>
        <w:t xml:space="preserve">. RAN2 wait for the more clear information on full migration for deciding the access UE’s handover mechanism upon </w:t>
      </w:r>
      <w:proofErr w:type="spellStart"/>
      <w:r w:rsidRPr="0056142B">
        <w:rPr>
          <w:b/>
          <w:lang w:eastAsia="ko-KR"/>
        </w:rPr>
        <w:t>mIAB’s</w:t>
      </w:r>
      <w:proofErr w:type="spellEnd"/>
      <w:r w:rsidRPr="0056142B">
        <w:rPr>
          <w:b/>
          <w:lang w:eastAsia="ko-KR"/>
        </w:rPr>
        <w:t xml:space="preserve"> full migration.</w:t>
      </w:r>
    </w:p>
    <w:p w14:paraId="50BACBEC" w14:textId="77777777" w:rsidR="00710CB5" w:rsidRPr="00882817" w:rsidRDefault="00710CB5" w:rsidP="00710CB5">
      <w:pPr>
        <w:rPr>
          <w:i/>
        </w:rPr>
      </w:pPr>
      <w:r w:rsidRPr="00882817">
        <w:rPr>
          <w:i/>
        </w:rPr>
        <w:t xml:space="preserve"> Observation </w:t>
      </w:r>
      <w:r>
        <w:rPr>
          <w:i/>
        </w:rPr>
        <w:t>5</w:t>
      </w:r>
      <w:r w:rsidRPr="00882817">
        <w:rPr>
          <w:i/>
        </w:rPr>
        <w:t xml:space="preserve">. In connected mode, </w:t>
      </w:r>
      <w:r>
        <w:rPr>
          <w:i/>
        </w:rPr>
        <w:t xml:space="preserve">there would be frequent measurement reporting surges from most of access UEs in the </w:t>
      </w:r>
      <w:proofErr w:type="spellStart"/>
      <w:r>
        <w:rPr>
          <w:i/>
        </w:rPr>
        <w:t>mIAB</w:t>
      </w:r>
      <w:proofErr w:type="spellEnd"/>
      <w:r>
        <w:rPr>
          <w:i/>
        </w:rPr>
        <w:t xml:space="preserve"> node. </w:t>
      </w:r>
    </w:p>
    <w:p w14:paraId="292E021D" w14:textId="77777777" w:rsidR="00710CB5" w:rsidRPr="00D41EF5" w:rsidRDefault="00710CB5" w:rsidP="00710CB5">
      <w:pPr>
        <w:rPr>
          <w:rFonts w:eastAsiaTheme="minorEastAsia"/>
          <w:i/>
          <w:lang w:eastAsia="ko-KR"/>
        </w:rPr>
      </w:pPr>
      <w:r w:rsidRPr="00D41EF5">
        <w:rPr>
          <w:rFonts w:eastAsiaTheme="minorEastAsia"/>
          <w:i/>
          <w:lang w:eastAsia="ko-KR"/>
        </w:rPr>
        <w:t xml:space="preserve">Observation </w:t>
      </w:r>
      <w:r>
        <w:rPr>
          <w:rFonts w:eastAsiaTheme="minorEastAsia"/>
          <w:i/>
          <w:lang w:eastAsia="ko-KR"/>
        </w:rPr>
        <w:t>6</w:t>
      </w:r>
      <w:r w:rsidRPr="00D41EF5">
        <w:rPr>
          <w:rFonts w:eastAsiaTheme="minorEastAsia"/>
          <w:i/>
          <w:lang w:eastAsia="ko-KR"/>
        </w:rPr>
        <w:t>. Measurement report surge can be reduced by network implementation. And no need to enhance the legacy RRM method regarding measurement configuration and report</w:t>
      </w:r>
      <w:r>
        <w:rPr>
          <w:rFonts w:eastAsiaTheme="minorEastAsia"/>
          <w:i/>
          <w:lang w:eastAsia="ko-KR"/>
        </w:rPr>
        <w:t xml:space="preserve"> on access UEs under the </w:t>
      </w:r>
      <w:proofErr w:type="spellStart"/>
      <w:r>
        <w:rPr>
          <w:rFonts w:eastAsiaTheme="minorEastAsia"/>
          <w:i/>
          <w:lang w:eastAsia="ko-KR"/>
        </w:rPr>
        <w:t>mIAB</w:t>
      </w:r>
      <w:proofErr w:type="spellEnd"/>
      <w:r>
        <w:rPr>
          <w:rFonts w:eastAsiaTheme="minorEastAsia"/>
          <w:i/>
          <w:lang w:eastAsia="ko-KR"/>
        </w:rPr>
        <w:t xml:space="preserve"> node</w:t>
      </w:r>
      <w:r w:rsidRPr="00D41EF5">
        <w:rPr>
          <w:rFonts w:eastAsiaTheme="minorEastAsia"/>
          <w:i/>
          <w:lang w:eastAsia="ko-KR"/>
        </w:rPr>
        <w:t xml:space="preserve">. </w:t>
      </w:r>
    </w:p>
    <w:p w14:paraId="7F263B1B" w14:textId="3B7637EB" w:rsidR="0056142B" w:rsidRPr="0056142B" w:rsidRDefault="0056142B" w:rsidP="0056142B">
      <w:pPr>
        <w:rPr>
          <w:b/>
          <w:lang w:eastAsia="ko-KR"/>
        </w:rPr>
      </w:pPr>
      <w:r w:rsidRPr="0056142B">
        <w:rPr>
          <w:b/>
        </w:rPr>
        <w:t xml:space="preserve">Proposal </w:t>
      </w:r>
      <w:r w:rsidR="003E1A0F">
        <w:rPr>
          <w:b/>
        </w:rPr>
        <w:t>3</w:t>
      </w:r>
      <w:r w:rsidRPr="0056142B">
        <w:rPr>
          <w:b/>
        </w:rPr>
        <w:t xml:space="preserve">. </w:t>
      </w:r>
      <w:r w:rsidRPr="0056142B">
        <w:rPr>
          <w:rFonts w:hint="eastAsia"/>
          <w:b/>
        </w:rPr>
        <w:t>RAN2</w:t>
      </w:r>
      <w:r w:rsidRPr="0056142B">
        <w:rPr>
          <w:rFonts w:hint="eastAsia"/>
          <w:b/>
          <w:lang w:eastAsia="ko-KR"/>
        </w:rPr>
        <w:t xml:space="preserve"> not to introduce modification on RRM i.e., measurement configuration and measurement report procedure for access UEs </w:t>
      </w:r>
      <w:r w:rsidRPr="0056142B">
        <w:rPr>
          <w:b/>
          <w:lang w:eastAsia="ko-KR"/>
        </w:rPr>
        <w:t>under the mobile IAB node for reducing MR surges.</w:t>
      </w:r>
    </w:p>
    <w:p w14:paraId="46FE6074" w14:textId="77777777" w:rsidR="00710CB5" w:rsidRPr="00B15AFA" w:rsidRDefault="00710CB5" w:rsidP="00710CB5">
      <w:pPr>
        <w:rPr>
          <w:i/>
        </w:rPr>
      </w:pPr>
      <w:r w:rsidRPr="00B15AFA">
        <w:rPr>
          <w:i/>
        </w:rPr>
        <w:t>O</w:t>
      </w:r>
      <w:r w:rsidRPr="00B15AFA">
        <w:rPr>
          <w:rFonts w:hint="eastAsia"/>
          <w:i/>
        </w:rPr>
        <w:t xml:space="preserve">bservation </w:t>
      </w:r>
      <w:r>
        <w:rPr>
          <w:i/>
        </w:rPr>
        <w:t>7</w:t>
      </w:r>
      <w:r w:rsidRPr="00B15AFA">
        <w:rPr>
          <w:i/>
        </w:rPr>
        <w:t xml:space="preserve">. In idle/inactive mode, access UE might do cell reselection to </w:t>
      </w:r>
      <w:proofErr w:type="spellStart"/>
      <w:r w:rsidRPr="00B15AFA">
        <w:rPr>
          <w:i/>
        </w:rPr>
        <w:t>neighbor</w:t>
      </w:r>
      <w:proofErr w:type="spellEnd"/>
      <w:r w:rsidRPr="00B15AFA">
        <w:rPr>
          <w:i/>
        </w:rPr>
        <w:t xml:space="preserve"> cell </w:t>
      </w:r>
      <w:r>
        <w:rPr>
          <w:i/>
        </w:rPr>
        <w:t xml:space="preserve">unnecessarily </w:t>
      </w:r>
      <w:r w:rsidRPr="00B15AFA">
        <w:rPr>
          <w:i/>
        </w:rPr>
        <w:t>and come back to the IAB node’s cell.</w:t>
      </w:r>
    </w:p>
    <w:p w14:paraId="51D121A8" w14:textId="1C3B53C7" w:rsidR="0056142B" w:rsidRDefault="0056142B" w:rsidP="0056142B">
      <w:pPr>
        <w:rPr>
          <w:b/>
        </w:rPr>
      </w:pPr>
      <w:r w:rsidRPr="0056142B">
        <w:rPr>
          <w:b/>
        </w:rPr>
        <w:t xml:space="preserve">Proposal </w:t>
      </w:r>
      <w:r w:rsidR="003E1A0F">
        <w:rPr>
          <w:b/>
        </w:rPr>
        <w:t>4</w:t>
      </w:r>
      <w:r w:rsidRPr="0056142B">
        <w:rPr>
          <w:b/>
        </w:rPr>
        <w:t xml:space="preserve">. RAN2 discuss whether in idle/inactive mode of access UE, whether access UE’s cell reselection to neighbour cell (out of the IAB node) and again back to the cell of the IAB node could be a problem, and if so, to find the solution for this. </w:t>
      </w:r>
    </w:p>
    <w:p w14:paraId="6BBB201A" w14:textId="2D5291F2" w:rsidR="0056142B" w:rsidRPr="0056142B" w:rsidRDefault="0056142B" w:rsidP="0056142B">
      <w:pPr>
        <w:rPr>
          <w:b/>
          <w:lang w:val="en-US" w:eastAsia="zh-CN"/>
        </w:rPr>
      </w:pPr>
      <w:r w:rsidRPr="0056142B">
        <w:rPr>
          <w:b/>
        </w:rPr>
        <w:t xml:space="preserve">Proposal </w:t>
      </w:r>
      <w:r w:rsidR="003E1A0F">
        <w:rPr>
          <w:b/>
        </w:rPr>
        <w:t>5</w:t>
      </w:r>
      <w:r w:rsidRPr="0056142B">
        <w:rPr>
          <w:b/>
        </w:rPr>
        <w:t>. The</w:t>
      </w:r>
      <w:r w:rsidRPr="0056142B">
        <w:rPr>
          <w:b/>
          <w:lang w:val="en-US" w:eastAsia="zh-CN"/>
        </w:rPr>
        <w:t xml:space="preserve"> mobile IAB-MT shall send a mobile-IAB indication to the IAB-donor-CU.</w:t>
      </w:r>
    </w:p>
    <w:p w14:paraId="04CB7DEF" w14:textId="7FB1A579" w:rsidR="0056142B" w:rsidRPr="0056142B" w:rsidRDefault="0056142B" w:rsidP="0056142B">
      <w:pPr>
        <w:rPr>
          <w:b/>
        </w:rPr>
      </w:pPr>
      <w:r w:rsidRPr="0056142B">
        <w:rPr>
          <w:b/>
        </w:rPr>
        <w:t xml:space="preserve">Proposal </w:t>
      </w:r>
      <w:r w:rsidR="003E1A0F">
        <w:rPr>
          <w:b/>
        </w:rPr>
        <w:t>6</w:t>
      </w:r>
      <w:r w:rsidRPr="0056142B">
        <w:rPr>
          <w:b/>
        </w:rPr>
        <w:t>. IAB-DU that can serve as the parent of the mobile IAB node shall broadcast this support.</w:t>
      </w:r>
    </w:p>
    <w:p w14:paraId="21CF8DB8" w14:textId="17163087" w:rsidR="0056142B" w:rsidRPr="0056142B" w:rsidRDefault="0056142B" w:rsidP="0056142B">
      <w:pPr>
        <w:rPr>
          <w:b/>
        </w:rPr>
      </w:pPr>
      <w:r w:rsidRPr="0056142B">
        <w:rPr>
          <w:b/>
        </w:rPr>
        <w:t xml:space="preserve">Proposal </w:t>
      </w:r>
      <w:r w:rsidR="003E1A0F">
        <w:rPr>
          <w:b/>
        </w:rPr>
        <w:t>7</w:t>
      </w:r>
      <w:bookmarkStart w:id="5" w:name="_GoBack"/>
      <w:bookmarkEnd w:id="5"/>
      <w:r w:rsidRPr="0056142B">
        <w:rPr>
          <w:b/>
        </w:rPr>
        <w:t>. RAN2 to discuss how this support indication is signalled.</w:t>
      </w:r>
      <w:bookmarkEnd w:id="4"/>
    </w:p>
    <w:sectPr w:rsidR="0056142B" w:rsidRPr="0056142B" w:rsidSect="00AE762B">
      <w:headerReference w:type="default" r:id="rId7"/>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0124B" w14:textId="77777777" w:rsidR="00F90F9D" w:rsidRDefault="00F90F9D">
      <w:pPr>
        <w:spacing w:after="0"/>
      </w:pPr>
      <w:r>
        <w:separator/>
      </w:r>
    </w:p>
  </w:endnote>
  <w:endnote w:type="continuationSeparator" w:id="0">
    <w:p w14:paraId="296F0CE8" w14:textId="77777777" w:rsidR="00F90F9D" w:rsidRDefault="00F90F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D07BA" w14:textId="77777777" w:rsidR="00F90F9D" w:rsidRDefault="00F90F9D">
      <w:pPr>
        <w:spacing w:after="0"/>
      </w:pPr>
      <w:r>
        <w:separator/>
      </w:r>
    </w:p>
  </w:footnote>
  <w:footnote w:type="continuationSeparator" w:id="0">
    <w:p w14:paraId="1BA28520" w14:textId="77777777" w:rsidR="00F90F9D" w:rsidRDefault="00F90F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C435"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4B0F4B"/>
    <w:multiLevelType w:val="hybridMultilevel"/>
    <w:tmpl w:val="0614750A"/>
    <w:lvl w:ilvl="0" w:tplc="4DBA4A3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4"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A34518"/>
    <w:multiLevelType w:val="hybridMultilevel"/>
    <w:tmpl w:val="61C0707E"/>
    <w:lvl w:ilvl="0" w:tplc="217E660E">
      <w:start w:val="1"/>
      <w:numFmt w:val="decimal"/>
      <w:pStyle w:val="Proposal"/>
      <w:lvlText w:val="Proposal %1:"/>
      <w:lvlJc w:val="left"/>
      <w:pPr>
        <w:ind w:left="568"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6" w15:restartNumberingAfterBreak="0">
    <w:nsid w:val="391E7E52"/>
    <w:multiLevelType w:val="hybridMultilevel"/>
    <w:tmpl w:val="8C5E98F2"/>
    <w:lvl w:ilvl="0" w:tplc="7DCA12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490F92"/>
    <w:multiLevelType w:val="hybridMultilevel"/>
    <w:tmpl w:val="11BA67A6"/>
    <w:lvl w:ilvl="0" w:tplc="2C528FB8">
      <w:start w:val="8"/>
      <w:numFmt w:val="bullet"/>
      <w:lvlText w:val="-"/>
      <w:lvlJc w:val="left"/>
      <w:pPr>
        <w:ind w:left="760" w:hanging="36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466A3D"/>
    <w:multiLevelType w:val="hybridMultilevel"/>
    <w:tmpl w:val="C5D892DC"/>
    <w:lvl w:ilvl="0" w:tplc="6E50622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9D6680"/>
    <w:multiLevelType w:val="hybridMultilevel"/>
    <w:tmpl w:val="A56A7C68"/>
    <w:lvl w:ilvl="0" w:tplc="876E1234">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4"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3"/>
  </w:num>
  <w:num w:numId="3">
    <w:abstractNumId w:val="11"/>
  </w:num>
  <w:num w:numId="4">
    <w:abstractNumId w:val="3"/>
  </w:num>
  <w:num w:numId="5">
    <w:abstractNumId w:val="34"/>
  </w:num>
  <w:num w:numId="6">
    <w:abstractNumId w:val="18"/>
  </w:num>
  <w:num w:numId="7">
    <w:abstractNumId w:val="7"/>
  </w:num>
  <w:num w:numId="8">
    <w:abstractNumId w:val="22"/>
  </w:num>
  <w:num w:numId="9">
    <w:abstractNumId w:val="29"/>
  </w:num>
  <w:num w:numId="10">
    <w:abstractNumId w:val="7"/>
  </w:num>
  <w:num w:numId="11">
    <w:abstractNumId w:val="20"/>
  </w:num>
  <w:num w:numId="12">
    <w:abstractNumId w:val="13"/>
  </w:num>
  <w:num w:numId="13">
    <w:abstractNumId w:val="3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1"/>
  </w:num>
  <w:num w:numId="18">
    <w:abstractNumId w:val="1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3"/>
  </w:num>
  <w:num w:numId="23">
    <w:abstractNumId w:val="0"/>
  </w:num>
  <w:num w:numId="24">
    <w:abstractNumId w:val="8"/>
  </w:num>
  <w:num w:numId="25">
    <w:abstractNumId w:val="36"/>
  </w:num>
  <w:num w:numId="26">
    <w:abstractNumId w:val="7"/>
  </w:num>
  <w:num w:numId="27">
    <w:abstractNumId w:val="10"/>
  </w:num>
  <w:num w:numId="28">
    <w:abstractNumId w:val="17"/>
  </w:num>
  <w:num w:numId="29">
    <w:abstractNumId w:val="7"/>
  </w:num>
  <w:num w:numId="30">
    <w:abstractNumId w:val="9"/>
  </w:num>
  <w:num w:numId="31">
    <w:abstractNumId w:val="6"/>
  </w:num>
  <w:num w:numId="32">
    <w:abstractNumId w:val="1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4"/>
  </w:num>
  <w:num w:numId="38">
    <w:abstractNumId w:val="27"/>
  </w:num>
  <w:num w:numId="39">
    <w:abstractNumId w:val="21"/>
  </w:num>
  <w:num w:numId="40">
    <w:abstractNumId w:val="32"/>
  </w:num>
  <w:num w:numId="41">
    <w:abstractNumId w:val="26"/>
  </w:num>
  <w:num w:numId="42">
    <w:abstractNumId w:val="25"/>
  </w:num>
  <w:num w:numId="43">
    <w:abstractNumId w:val="28"/>
  </w:num>
  <w:num w:numId="44">
    <w:abstractNumId w:val="16"/>
  </w:num>
  <w:num w:numId="45">
    <w:abstractNumId w:val="2"/>
  </w:num>
  <w:num w:numId="46">
    <w:abstractNumId w:val="5"/>
  </w:num>
  <w:num w:numId="47">
    <w:abstractNumId w:val="15"/>
  </w:num>
  <w:num w:numId="48">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50E61"/>
    <w:rsid w:val="0005175D"/>
    <w:rsid w:val="00053AD7"/>
    <w:rsid w:val="00057721"/>
    <w:rsid w:val="00057793"/>
    <w:rsid w:val="00076425"/>
    <w:rsid w:val="000957CB"/>
    <w:rsid w:val="000B02F9"/>
    <w:rsid w:val="000D131C"/>
    <w:rsid w:val="000D64D3"/>
    <w:rsid w:val="000D7C1B"/>
    <w:rsid w:val="000E42F9"/>
    <w:rsid w:val="000E4414"/>
    <w:rsid w:val="000F6672"/>
    <w:rsid w:val="00106B9B"/>
    <w:rsid w:val="00114879"/>
    <w:rsid w:val="0011659C"/>
    <w:rsid w:val="00131F0F"/>
    <w:rsid w:val="001404E0"/>
    <w:rsid w:val="001418B3"/>
    <w:rsid w:val="00142196"/>
    <w:rsid w:val="00150F93"/>
    <w:rsid w:val="00155226"/>
    <w:rsid w:val="001615FA"/>
    <w:rsid w:val="00175884"/>
    <w:rsid w:val="001768B1"/>
    <w:rsid w:val="00176B28"/>
    <w:rsid w:val="00185EF3"/>
    <w:rsid w:val="00187E87"/>
    <w:rsid w:val="00197225"/>
    <w:rsid w:val="001A06A1"/>
    <w:rsid w:val="001A5CC9"/>
    <w:rsid w:val="001A71BF"/>
    <w:rsid w:val="001D393D"/>
    <w:rsid w:val="001D5742"/>
    <w:rsid w:val="001E2D6F"/>
    <w:rsid w:val="00202BB0"/>
    <w:rsid w:val="00204F0B"/>
    <w:rsid w:val="00206362"/>
    <w:rsid w:val="002138DC"/>
    <w:rsid w:val="00213F0E"/>
    <w:rsid w:val="0021767A"/>
    <w:rsid w:val="0022094A"/>
    <w:rsid w:val="00234FA2"/>
    <w:rsid w:val="002619E1"/>
    <w:rsid w:val="00272496"/>
    <w:rsid w:val="00273C08"/>
    <w:rsid w:val="00282A7C"/>
    <w:rsid w:val="00283EE8"/>
    <w:rsid w:val="002875E4"/>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04590"/>
    <w:rsid w:val="00330526"/>
    <w:rsid w:val="00332440"/>
    <w:rsid w:val="00335F62"/>
    <w:rsid w:val="00336605"/>
    <w:rsid w:val="00345808"/>
    <w:rsid w:val="003576B3"/>
    <w:rsid w:val="00365F81"/>
    <w:rsid w:val="0036689B"/>
    <w:rsid w:val="003756CA"/>
    <w:rsid w:val="00385ECA"/>
    <w:rsid w:val="00390FFD"/>
    <w:rsid w:val="00394B80"/>
    <w:rsid w:val="00397D06"/>
    <w:rsid w:val="00397E62"/>
    <w:rsid w:val="003A6941"/>
    <w:rsid w:val="003A7599"/>
    <w:rsid w:val="003B3377"/>
    <w:rsid w:val="003C0C68"/>
    <w:rsid w:val="003C2B8D"/>
    <w:rsid w:val="003C7701"/>
    <w:rsid w:val="003D470F"/>
    <w:rsid w:val="003D4DB4"/>
    <w:rsid w:val="003D59AD"/>
    <w:rsid w:val="003E1A0F"/>
    <w:rsid w:val="003F11B3"/>
    <w:rsid w:val="00405FC5"/>
    <w:rsid w:val="0040764A"/>
    <w:rsid w:val="00415800"/>
    <w:rsid w:val="00422DFB"/>
    <w:rsid w:val="00423709"/>
    <w:rsid w:val="0042563A"/>
    <w:rsid w:val="00426589"/>
    <w:rsid w:val="00431FF7"/>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E4867"/>
    <w:rsid w:val="004E551D"/>
    <w:rsid w:val="004E6E94"/>
    <w:rsid w:val="00503A5D"/>
    <w:rsid w:val="00504DC9"/>
    <w:rsid w:val="00507A39"/>
    <w:rsid w:val="00512418"/>
    <w:rsid w:val="005151AA"/>
    <w:rsid w:val="00521A92"/>
    <w:rsid w:val="005516DD"/>
    <w:rsid w:val="00556534"/>
    <w:rsid w:val="005566B5"/>
    <w:rsid w:val="0056142B"/>
    <w:rsid w:val="00570E58"/>
    <w:rsid w:val="00576742"/>
    <w:rsid w:val="00583ACC"/>
    <w:rsid w:val="005944E2"/>
    <w:rsid w:val="005978B6"/>
    <w:rsid w:val="005A113D"/>
    <w:rsid w:val="005A2EDB"/>
    <w:rsid w:val="005B1CAD"/>
    <w:rsid w:val="005B1EFC"/>
    <w:rsid w:val="005C2CF3"/>
    <w:rsid w:val="005D4E72"/>
    <w:rsid w:val="005E5AEE"/>
    <w:rsid w:val="005E6FF3"/>
    <w:rsid w:val="005F2C99"/>
    <w:rsid w:val="005F3A6F"/>
    <w:rsid w:val="00602782"/>
    <w:rsid w:val="00621EBD"/>
    <w:rsid w:val="00640A53"/>
    <w:rsid w:val="00645469"/>
    <w:rsid w:val="006666D4"/>
    <w:rsid w:val="006676DD"/>
    <w:rsid w:val="00677CCD"/>
    <w:rsid w:val="00681862"/>
    <w:rsid w:val="006924C6"/>
    <w:rsid w:val="0069264A"/>
    <w:rsid w:val="00694005"/>
    <w:rsid w:val="00697CF7"/>
    <w:rsid w:val="00697E1B"/>
    <w:rsid w:val="006A26DD"/>
    <w:rsid w:val="006A3FE0"/>
    <w:rsid w:val="006A62AD"/>
    <w:rsid w:val="006B36FF"/>
    <w:rsid w:val="006B5908"/>
    <w:rsid w:val="006C315B"/>
    <w:rsid w:val="006D31DB"/>
    <w:rsid w:val="006D55DA"/>
    <w:rsid w:val="006E4BEE"/>
    <w:rsid w:val="006E58D8"/>
    <w:rsid w:val="00707E90"/>
    <w:rsid w:val="00710CB5"/>
    <w:rsid w:val="00712075"/>
    <w:rsid w:val="00717D7E"/>
    <w:rsid w:val="00722399"/>
    <w:rsid w:val="00730369"/>
    <w:rsid w:val="00732DF6"/>
    <w:rsid w:val="0073527F"/>
    <w:rsid w:val="00735641"/>
    <w:rsid w:val="00740686"/>
    <w:rsid w:val="007472C5"/>
    <w:rsid w:val="007640D8"/>
    <w:rsid w:val="0077340F"/>
    <w:rsid w:val="007751F9"/>
    <w:rsid w:val="00781D0A"/>
    <w:rsid w:val="00787621"/>
    <w:rsid w:val="00794875"/>
    <w:rsid w:val="00795952"/>
    <w:rsid w:val="00797032"/>
    <w:rsid w:val="00797FF0"/>
    <w:rsid w:val="007A0022"/>
    <w:rsid w:val="007A3F0C"/>
    <w:rsid w:val="007A687C"/>
    <w:rsid w:val="007B014B"/>
    <w:rsid w:val="007B7BF0"/>
    <w:rsid w:val="007C32F8"/>
    <w:rsid w:val="007D0F39"/>
    <w:rsid w:val="007D2B0E"/>
    <w:rsid w:val="007D5EC9"/>
    <w:rsid w:val="007D64BD"/>
    <w:rsid w:val="007E5989"/>
    <w:rsid w:val="007F0DA7"/>
    <w:rsid w:val="007F7780"/>
    <w:rsid w:val="00800FE5"/>
    <w:rsid w:val="008012A3"/>
    <w:rsid w:val="0080186F"/>
    <w:rsid w:val="00801F44"/>
    <w:rsid w:val="00811634"/>
    <w:rsid w:val="008149DD"/>
    <w:rsid w:val="0081535F"/>
    <w:rsid w:val="00821959"/>
    <w:rsid w:val="0082303B"/>
    <w:rsid w:val="008312C3"/>
    <w:rsid w:val="008647BB"/>
    <w:rsid w:val="00872B73"/>
    <w:rsid w:val="008841EB"/>
    <w:rsid w:val="00884498"/>
    <w:rsid w:val="0088616D"/>
    <w:rsid w:val="0089216D"/>
    <w:rsid w:val="00895EC7"/>
    <w:rsid w:val="008B0C1D"/>
    <w:rsid w:val="008B0DFC"/>
    <w:rsid w:val="008B3BE6"/>
    <w:rsid w:val="008C1954"/>
    <w:rsid w:val="008C4F35"/>
    <w:rsid w:val="008D174B"/>
    <w:rsid w:val="008D4C97"/>
    <w:rsid w:val="008E099B"/>
    <w:rsid w:val="008E0F29"/>
    <w:rsid w:val="008E5986"/>
    <w:rsid w:val="008F6B23"/>
    <w:rsid w:val="00902F94"/>
    <w:rsid w:val="00906030"/>
    <w:rsid w:val="00916887"/>
    <w:rsid w:val="00921EF1"/>
    <w:rsid w:val="00933A6A"/>
    <w:rsid w:val="0093636E"/>
    <w:rsid w:val="00963A3C"/>
    <w:rsid w:val="009737DF"/>
    <w:rsid w:val="00983474"/>
    <w:rsid w:val="009904E6"/>
    <w:rsid w:val="009A025F"/>
    <w:rsid w:val="009A4CAA"/>
    <w:rsid w:val="009A4D1C"/>
    <w:rsid w:val="009A6BE4"/>
    <w:rsid w:val="009A7718"/>
    <w:rsid w:val="009B4DE3"/>
    <w:rsid w:val="009C6923"/>
    <w:rsid w:val="009C745D"/>
    <w:rsid w:val="009D0265"/>
    <w:rsid w:val="009D0B7D"/>
    <w:rsid w:val="009D0CAF"/>
    <w:rsid w:val="009E1987"/>
    <w:rsid w:val="009F26A8"/>
    <w:rsid w:val="00A00549"/>
    <w:rsid w:val="00A0137B"/>
    <w:rsid w:val="00A05972"/>
    <w:rsid w:val="00A2663C"/>
    <w:rsid w:val="00A318AB"/>
    <w:rsid w:val="00A34F78"/>
    <w:rsid w:val="00A41C41"/>
    <w:rsid w:val="00A43F57"/>
    <w:rsid w:val="00A44029"/>
    <w:rsid w:val="00A5502F"/>
    <w:rsid w:val="00A6096F"/>
    <w:rsid w:val="00A672D6"/>
    <w:rsid w:val="00A75AA3"/>
    <w:rsid w:val="00A81CC4"/>
    <w:rsid w:val="00A81E2F"/>
    <w:rsid w:val="00A82034"/>
    <w:rsid w:val="00A8323C"/>
    <w:rsid w:val="00A91CD1"/>
    <w:rsid w:val="00A93613"/>
    <w:rsid w:val="00A94FA7"/>
    <w:rsid w:val="00AA2183"/>
    <w:rsid w:val="00AA45AC"/>
    <w:rsid w:val="00AC01D6"/>
    <w:rsid w:val="00AC0F7A"/>
    <w:rsid w:val="00AC440D"/>
    <w:rsid w:val="00AC7C03"/>
    <w:rsid w:val="00AD0820"/>
    <w:rsid w:val="00AD1D68"/>
    <w:rsid w:val="00AD4C7B"/>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2193"/>
    <w:rsid w:val="00BB32B3"/>
    <w:rsid w:val="00BC11D2"/>
    <w:rsid w:val="00BC1E32"/>
    <w:rsid w:val="00BD1585"/>
    <w:rsid w:val="00BE50F7"/>
    <w:rsid w:val="00BF5E5C"/>
    <w:rsid w:val="00C00D06"/>
    <w:rsid w:val="00C02169"/>
    <w:rsid w:val="00C02207"/>
    <w:rsid w:val="00C10EE4"/>
    <w:rsid w:val="00C23D88"/>
    <w:rsid w:val="00C2532E"/>
    <w:rsid w:val="00C30A59"/>
    <w:rsid w:val="00C32871"/>
    <w:rsid w:val="00C41317"/>
    <w:rsid w:val="00C42A73"/>
    <w:rsid w:val="00C44197"/>
    <w:rsid w:val="00C45EA6"/>
    <w:rsid w:val="00C57810"/>
    <w:rsid w:val="00C579A5"/>
    <w:rsid w:val="00C62439"/>
    <w:rsid w:val="00C702A1"/>
    <w:rsid w:val="00C7045C"/>
    <w:rsid w:val="00C73832"/>
    <w:rsid w:val="00C76EF8"/>
    <w:rsid w:val="00C94D68"/>
    <w:rsid w:val="00CB04BA"/>
    <w:rsid w:val="00CB04D0"/>
    <w:rsid w:val="00CB4BC1"/>
    <w:rsid w:val="00CC610F"/>
    <w:rsid w:val="00CE13CC"/>
    <w:rsid w:val="00CE15CC"/>
    <w:rsid w:val="00CE5791"/>
    <w:rsid w:val="00CF4D7B"/>
    <w:rsid w:val="00D0519D"/>
    <w:rsid w:val="00D0698B"/>
    <w:rsid w:val="00D14C95"/>
    <w:rsid w:val="00D20CFB"/>
    <w:rsid w:val="00D2338F"/>
    <w:rsid w:val="00D24736"/>
    <w:rsid w:val="00D2530F"/>
    <w:rsid w:val="00D338D0"/>
    <w:rsid w:val="00D34DDB"/>
    <w:rsid w:val="00D40EAF"/>
    <w:rsid w:val="00D41EF5"/>
    <w:rsid w:val="00D44E98"/>
    <w:rsid w:val="00D44F7E"/>
    <w:rsid w:val="00D56860"/>
    <w:rsid w:val="00D61128"/>
    <w:rsid w:val="00D63B14"/>
    <w:rsid w:val="00D83D93"/>
    <w:rsid w:val="00D84F64"/>
    <w:rsid w:val="00D87612"/>
    <w:rsid w:val="00DA0CB3"/>
    <w:rsid w:val="00DA23B3"/>
    <w:rsid w:val="00DA52E5"/>
    <w:rsid w:val="00DA6D64"/>
    <w:rsid w:val="00DB528F"/>
    <w:rsid w:val="00DB6A05"/>
    <w:rsid w:val="00DC2963"/>
    <w:rsid w:val="00DD2F08"/>
    <w:rsid w:val="00E06C56"/>
    <w:rsid w:val="00E076D0"/>
    <w:rsid w:val="00E109CD"/>
    <w:rsid w:val="00E114D0"/>
    <w:rsid w:val="00E27713"/>
    <w:rsid w:val="00E40FC7"/>
    <w:rsid w:val="00E415D4"/>
    <w:rsid w:val="00E41B55"/>
    <w:rsid w:val="00E41F24"/>
    <w:rsid w:val="00E45F4E"/>
    <w:rsid w:val="00E532E7"/>
    <w:rsid w:val="00E63756"/>
    <w:rsid w:val="00E644F4"/>
    <w:rsid w:val="00E75050"/>
    <w:rsid w:val="00E95CBA"/>
    <w:rsid w:val="00EA2ABE"/>
    <w:rsid w:val="00EA32EE"/>
    <w:rsid w:val="00EB1116"/>
    <w:rsid w:val="00EB24FC"/>
    <w:rsid w:val="00EB3B05"/>
    <w:rsid w:val="00EB78EF"/>
    <w:rsid w:val="00EC2408"/>
    <w:rsid w:val="00EC26FB"/>
    <w:rsid w:val="00EC4D55"/>
    <w:rsid w:val="00ED5EC0"/>
    <w:rsid w:val="00ED65C5"/>
    <w:rsid w:val="00F1129A"/>
    <w:rsid w:val="00F22ACC"/>
    <w:rsid w:val="00F33AF3"/>
    <w:rsid w:val="00F37BAA"/>
    <w:rsid w:val="00F6116A"/>
    <w:rsid w:val="00F64F6B"/>
    <w:rsid w:val="00F74EA0"/>
    <w:rsid w:val="00F8223C"/>
    <w:rsid w:val="00F82B58"/>
    <w:rsid w:val="00F90F9D"/>
    <w:rsid w:val="00F94A2D"/>
    <w:rsid w:val="00FA0571"/>
    <w:rsid w:val="00FA494F"/>
    <w:rsid w:val="00FA5BA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90D7"/>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uiPriority w:val="39"/>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70E58"/>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70E58"/>
    <w:rPr>
      <w:rFonts w:ascii="Times New Roman" w:eastAsia="Times New Roman" w:hAnsi="Times New Roman" w:cs="Times New Roman"/>
      <w:b/>
      <w:bCs/>
      <w:kern w:val="0"/>
      <w:szCs w:val="20"/>
      <w:lang w:val="en-GB" w:eastAsia="en-US"/>
    </w:rPr>
  </w:style>
  <w:style w:type="paragraph" w:customStyle="1" w:styleId="4">
    <w:name w:val="标题4"/>
    <w:basedOn w:val="a"/>
    <w:rsid w:val="004E4867"/>
    <w:pPr>
      <w:numPr>
        <w:numId w:val="46"/>
      </w:numPr>
      <w:overflowPunct/>
      <w:autoSpaceDE/>
      <w:autoSpaceDN/>
      <w:adjustRightInd/>
      <w:textAlignment w:val="auto"/>
    </w:pPr>
    <w:rPr>
      <w:rFonts w:eastAsia="SimSun"/>
    </w:rPr>
  </w:style>
  <w:style w:type="paragraph" w:customStyle="1" w:styleId="Proposal">
    <w:name w:val="Proposal"/>
    <w:basedOn w:val="a"/>
    <w:link w:val="ProposalChar"/>
    <w:qFormat/>
    <w:rsid w:val="004E4867"/>
    <w:pPr>
      <w:numPr>
        <w:numId w:val="47"/>
      </w:numPr>
      <w:tabs>
        <w:tab w:val="left" w:pos="1560"/>
      </w:tabs>
      <w:overflowPunct/>
      <w:autoSpaceDE/>
      <w:autoSpaceDN/>
      <w:adjustRightInd/>
      <w:textAlignment w:val="auto"/>
    </w:pPr>
    <w:rPr>
      <w:rFonts w:eastAsia="SimSun"/>
      <w:b/>
    </w:rPr>
  </w:style>
  <w:style w:type="character" w:customStyle="1" w:styleId="ProposalChar">
    <w:name w:val="Proposal Char"/>
    <w:link w:val="Proposal"/>
    <w:rsid w:val="004E4867"/>
    <w:rPr>
      <w:rFonts w:ascii="Times New Roman" w:eastAsia="SimSun"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2353</Words>
  <Characters>13413</Characters>
  <Application>Microsoft Office Word</Application>
  <DocSecurity>0</DocSecurity>
  <Lines>111</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(June)</cp:lastModifiedBy>
  <cp:revision>4</cp:revision>
  <dcterms:created xsi:type="dcterms:W3CDTF">2022-09-30T02:50:00Z</dcterms:created>
  <dcterms:modified xsi:type="dcterms:W3CDTF">2022-09-30T08:03:00Z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